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81B9" w14:textId="77777777" w:rsidR="002926DE" w:rsidRDefault="002926DE" w:rsidP="002926DE">
      <w:pPr>
        <w:jc w:val="center"/>
        <w:rPr>
          <w:lang w:val="pl-PL"/>
        </w:rPr>
      </w:pPr>
    </w:p>
    <w:p w14:paraId="0E2266DD" w14:textId="77777777" w:rsidR="002926DE" w:rsidRDefault="002926DE" w:rsidP="002926DE">
      <w:pPr>
        <w:jc w:val="center"/>
        <w:rPr>
          <w:lang w:val="pl-PL"/>
        </w:rPr>
      </w:pPr>
    </w:p>
    <w:p w14:paraId="63ABA4E7" w14:textId="77777777" w:rsidR="002926DE" w:rsidRDefault="002926DE" w:rsidP="002926DE">
      <w:pPr>
        <w:jc w:val="center"/>
        <w:rPr>
          <w:lang w:val="pl-PL"/>
        </w:rPr>
      </w:pPr>
    </w:p>
    <w:p w14:paraId="0873ECA3" w14:textId="072D457D" w:rsidR="00721342" w:rsidRPr="000B7813" w:rsidRDefault="00A2194B" w:rsidP="00721342">
      <w:pPr>
        <w:jc w:val="center"/>
      </w:pPr>
      <w:r>
        <w:rPr>
          <w:noProof/>
        </w:rPr>
        <w:drawing>
          <wp:inline distT="0" distB="0" distL="0" distR="0" wp14:anchorId="6ECF916B" wp14:editId="12233644">
            <wp:extent cx="1399580" cy="1440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3D4DEA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580" cy="1440000"/>
                    </a:xfrm>
                    <a:prstGeom prst="rect">
                      <a:avLst/>
                    </a:prstGeom>
                  </pic:spPr>
                </pic:pic>
              </a:graphicData>
            </a:graphic>
          </wp:inline>
        </w:drawing>
      </w:r>
    </w:p>
    <w:p w14:paraId="4473BD31" w14:textId="272DD82B" w:rsidR="00721342" w:rsidRPr="000B7813" w:rsidRDefault="00721342" w:rsidP="00721342">
      <w:pPr>
        <w:jc w:val="center"/>
      </w:pPr>
    </w:p>
    <w:p w14:paraId="24CABB85" w14:textId="1088A540" w:rsidR="00721342" w:rsidRPr="000B7813" w:rsidRDefault="00721342" w:rsidP="00721342">
      <w:pPr>
        <w:jc w:val="center"/>
      </w:pPr>
    </w:p>
    <w:p w14:paraId="39A92EEC" w14:textId="72C7A634" w:rsidR="00721342" w:rsidRPr="00EB0E4E" w:rsidRDefault="00721342" w:rsidP="00EB0E4E">
      <w:pPr>
        <w:pStyle w:val="Title"/>
        <w:jc w:val="center"/>
        <w:rPr>
          <w:color w:val="1F4E79" w:themeColor="accent5" w:themeShade="80"/>
          <w:sz w:val="48"/>
        </w:rPr>
      </w:pPr>
      <w:r w:rsidRPr="00EB0E4E">
        <w:rPr>
          <w:color w:val="1F4E79" w:themeColor="accent5" w:themeShade="80"/>
          <w:sz w:val="48"/>
        </w:rPr>
        <w:t xml:space="preserve">3D4DEAF-Promoting digital transformation and social innovation in VET for better access of deaf students to the </w:t>
      </w:r>
      <w:r w:rsidR="008B7AD2" w:rsidRPr="00EB0E4E">
        <w:rPr>
          <w:color w:val="1F4E79" w:themeColor="accent5" w:themeShade="80"/>
          <w:sz w:val="48"/>
        </w:rPr>
        <w:t>labo</w:t>
      </w:r>
      <w:r w:rsidR="006E14C7">
        <w:rPr>
          <w:color w:val="1F4E79" w:themeColor="accent5" w:themeShade="80"/>
          <w:sz w:val="48"/>
        </w:rPr>
        <w:t>u</w:t>
      </w:r>
      <w:r w:rsidR="008B7AD2" w:rsidRPr="00EB0E4E">
        <w:rPr>
          <w:color w:val="1F4E79" w:themeColor="accent5" w:themeShade="80"/>
          <w:sz w:val="48"/>
        </w:rPr>
        <w:t>r</w:t>
      </w:r>
      <w:r w:rsidRPr="00EB0E4E">
        <w:rPr>
          <w:color w:val="1F4E79" w:themeColor="accent5" w:themeShade="80"/>
          <w:sz w:val="48"/>
        </w:rPr>
        <w:t xml:space="preserve"> market</w:t>
      </w:r>
    </w:p>
    <w:p w14:paraId="5D28800D" w14:textId="77777777" w:rsidR="002926DE" w:rsidRPr="002926DE" w:rsidRDefault="002926DE" w:rsidP="002926DE"/>
    <w:p w14:paraId="65384A1C" w14:textId="7E8F924D" w:rsidR="00721342" w:rsidRDefault="00721342" w:rsidP="00EB0E4E">
      <w:pPr>
        <w:jc w:val="center"/>
        <w:rPr>
          <w:color w:val="2E74B5" w:themeColor="accent5" w:themeShade="BF"/>
          <w:sz w:val="24"/>
        </w:rPr>
      </w:pPr>
      <w:r w:rsidRPr="00EB0E4E">
        <w:rPr>
          <w:color w:val="2E74B5" w:themeColor="accent5" w:themeShade="BF"/>
          <w:sz w:val="24"/>
        </w:rPr>
        <w:t>WP2: EUROPEAN MONITORING REPORT &amp; 3D4DEAF DUAL TRAINING PACK:</w:t>
      </w:r>
      <w:r w:rsidR="00EB0E4E" w:rsidRPr="00EB0E4E">
        <w:rPr>
          <w:color w:val="2E74B5" w:themeColor="accent5" w:themeShade="BF"/>
          <w:sz w:val="24"/>
        </w:rPr>
        <w:t xml:space="preserve"> </w:t>
      </w:r>
      <w:r w:rsidRPr="00EB0E4E">
        <w:rPr>
          <w:color w:val="2E74B5" w:themeColor="accent5" w:themeShade="BF"/>
          <w:sz w:val="24"/>
        </w:rPr>
        <w:t>INTRODUCING 3D TECHNOLOGIES IN TEACHING AND LEARNING FOR A SUSTAINABLE FUTURE</w:t>
      </w:r>
    </w:p>
    <w:p w14:paraId="64EC83D7" w14:textId="77777777" w:rsidR="00EB0E4E" w:rsidRPr="00EB0E4E" w:rsidRDefault="00EB0E4E" w:rsidP="00EB0E4E">
      <w:pPr>
        <w:jc w:val="center"/>
        <w:rPr>
          <w:color w:val="2E74B5" w:themeColor="accent5" w:themeShade="BF"/>
          <w:sz w:val="24"/>
        </w:rPr>
      </w:pPr>
    </w:p>
    <w:p w14:paraId="36F7CAE5" w14:textId="692B70E0" w:rsidR="00721342" w:rsidRPr="00EB0E4E" w:rsidRDefault="00721342" w:rsidP="00721342">
      <w:pPr>
        <w:jc w:val="center"/>
        <w:rPr>
          <w:sz w:val="24"/>
        </w:rPr>
      </w:pPr>
      <w:r w:rsidRPr="00EB0E4E">
        <w:rPr>
          <w:sz w:val="24"/>
        </w:rPr>
        <w:t>A1: 3D4DEAF COMPARATIVE INDEX &amp; PRACTICAL GUIDEBOOK</w:t>
      </w:r>
    </w:p>
    <w:p w14:paraId="42964014" w14:textId="19251F07" w:rsidR="00721342" w:rsidRDefault="00721342" w:rsidP="00721342">
      <w:pPr>
        <w:jc w:val="center"/>
      </w:pPr>
    </w:p>
    <w:p w14:paraId="40240844" w14:textId="5450B80A" w:rsidR="00721342" w:rsidRPr="00EB0E4E" w:rsidRDefault="00721342" w:rsidP="00EB0E4E">
      <w:pPr>
        <w:pStyle w:val="Subtitle"/>
        <w:jc w:val="center"/>
        <w:rPr>
          <w:sz w:val="36"/>
        </w:rPr>
      </w:pPr>
      <w:r w:rsidRPr="00EB0E4E">
        <w:rPr>
          <w:sz w:val="36"/>
        </w:rPr>
        <w:t>National report</w:t>
      </w:r>
      <w:r w:rsidR="00FD3DA9">
        <w:rPr>
          <w:sz w:val="36"/>
        </w:rPr>
        <w:t xml:space="preserve">: </w:t>
      </w:r>
      <w:r w:rsidR="00B82909">
        <w:rPr>
          <w:sz w:val="36"/>
        </w:rPr>
        <w:t>Cyprus</w:t>
      </w:r>
    </w:p>
    <w:p w14:paraId="19060659" w14:textId="172E3557" w:rsidR="00721342" w:rsidRDefault="00721342" w:rsidP="00721342">
      <w:pPr>
        <w:jc w:val="center"/>
      </w:pPr>
    </w:p>
    <w:p w14:paraId="62C0F623" w14:textId="1FAF8B03" w:rsidR="00721342" w:rsidRDefault="00721342" w:rsidP="00721342">
      <w:pPr>
        <w:jc w:val="center"/>
      </w:pPr>
    </w:p>
    <w:p w14:paraId="2C74B3F4" w14:textId="14286485" w:rsidR="00721342" w:rsidRDefault="00721342" w:rsidP="00721342">
      <w:pPr>
        <w:jc w:val="center"/>
      </w:pPr>
    </w:p>
    <w:p w14:paraId="6CA503BA" w14:textId="118CE65E" w:rsidR="00721342" w:rsidRDefault="00721342" w:rsidP="00721342">
      <w:pPr>
        <w:jc w:val="center"/>
      </w:pPr>
    </w:p>
    <w:p w14:paraId="656E57EC" w14:textId="33DEA7B4" w:rsidR="00721342" w:rsidRDefault="00721342" w:rsidP="00721342">
      <w:pPr>
        <w:jc w:val="center"/>
      </w:pPr>
    </w:p>
    <w:p w14:paraId="29A22110" w14:textId="3A1FB43E" w:rsidR="00721342" w:rsidRDefault="00B82909" w:rsidP="00721342">
      <w:pPr>
        <w:jc w:val="center"/>
      </w:pPr>
      <w:r>
        <w:rPr>
          <w:noProof/>
        </w:rPr>
        <w:drawing>
          <wp:anchor distT="0" distB="0" distL="114300" distR="114300" simplePos="0" relativeHeight="251658240" behindDoc="0" locked="0" layoutInCell="1" allowOverlap="1" wp14:anchorId="0781B6E5" wp14:editId="7237693D">
            <wp:simplePos x="0" y="0"/>
            <wp:positionH relativeFrom="column">
              <wp:posOffset>3283585</wp:posOffset>
            </wp:positionH>
            <wp:positionV relativeFrom="paragraph">
              <wp:posOffset>86360</wp:posOffset>
            </wp:positionV>
            <wp:extent cx="1737360" cy="5803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360" cy="580390"/>
                    </a:xfrm>
                    <a:prstGeom prst="rect">
                      <a:avLst/>
                    </a:prstGeom>
                  </pic:spPr>
                </pic:pic>
              </a:graphicData>
            </a:graphic>
            <wp14:sizeRelH relativeFrom="page">
              <wp14:pctWidth>0</wp14:pctWidth>
            </wp14:sizeRelH>
            <wp14:sizeRelV relativeFrom="page">
              <wp14:pctHeight>0</wp14:pctHeight>
            </wp14:sizeRelV>
          </wp:anchor>
        </w:drawing>
      </w:r>
    </w:p>
    <w:p w14:paraId="332E95CD" w14:textId="097C6709" w:rsidR="00721342" w:rsidRDefault="00721342" w:rsidP="00721342">
      <w:pPr>
        <w:jc w:val="center"/>
      </w:pPr>
      <w:r>
        <w:t xml:space="preserve">Prepared by </w:t>
      </w:r>
    </w:p>
    <w:p w14:paraId="69463DDC" w14:textId="77777777" w:rsidR="00721342" w:rsidRPr="00721342" w:rsidRDefault="00721342" w:rsidP="00721342"/>
    <w:p w14:paraId="5317220E" w14:textId="0742DF42" w:rsidR="00721342" w:rsidRPr="00721342" w:rsidRDefault="00721342" w:rsidP="00721342"/>
    <w:p w14:paraId="594C150F" w14:textId="58C5DF98" w:rsidR="00721342" w:rsidRPr="00721342" w:rsidRDefault="00721342" w:rsidP="00721342"/>
    <w:p w14:paraId="4924BD1D" w14:textId="77777777" w:rsidR="00721342" w:rsidRPr="00721342" w:rsidRDefault="00721342" w:rsidP="00721342"/>
    <w:p w14:paraId="3AE1B023" w14:textId="5A7264AD" w:rsidR="00EB0E4E" w:rsidRPr="00EB0E4E" w:rsidRDefault="00EB0E4E" w:rsidP="00721342">
      <w:pPr>
        <w:tabs>
          <w:tab w:val="left" w:pos="5760"/>
        </w:tabs>
        <w:rPr>
          <w:b/>
          <w:sz w:val="28"/>
          <w:szCs w:val="28"/>
        </w:rPr>
      </w:pPr>
      <w:r w:rsidRPr="00EB0E4E">
        <w:rPr>
          <w:b/>
          <w:sz w:val="28"/>
          <w:szCs w:val="28"/>
        </w:rPr>
        <w:t>CONTEXT</w:t>
      </w:r>
    </w:p>
    <w:p w14:paraId="4B9E734A" w14:textId="42004796" w:rsidR="00EB0E4E" w:rsidRDefault="00EB0E4E" w:rsidP="00721342">
      <w:pPr>
        <w:tabs>
          <w:tab w:val="left" w:pos="5760"/>
        </w:tabs>
      </w:pPr>
    </w:p>
    <w:p w14:paraId="00C8F0BD" w14:textId="77777777" w:rsidR="00EB0E4E" w:rsidRDefault="00EB0E4E" w:rsidP="00721342">
      <w:pPr>
        <w:tabs>
          <w:tab w:val="left" w:pos="5760"/>
        </w:tabs>
      </w:pPr>
    </w:p>
    <w:p w14:paraId="469EB0C2" w14:textId="50EFE934" w:rsidR="00721342" w:rsidRDefault="00721342" w:rsidP="00721342">
      <w:pPr>
        <w:tabs>
          <w:tab w:val="left" w:pos="5760"/>
        </w:tabs>
      </w:pPr>
    </w:p>
    <w:tbl>
      <w:tblPr>
        <w:tblpPr w:leftFromText="180" w:rightFromText="180" w:vertAnchor="page" w:horzAnchor="margin" w:tblpY="4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9"/>
        <w:gridCol w:w="6206"/>
      </w:tblGrid>
      <w:tr w:rsidR="00721342" w:rsidRPr="005A7EAC" w14:paraId="57F28EC6" w14:textId="77777777" w:rsidTr="00EB0E4E">
        <w:trPr>
          <w:trHeight w:val="331"/>
        </w:trPr>
        <w:tc>
          <w:tcPr>
            <w:tcW w:w="2639" w:type="dxa"/>
            <w:shd w:val="clear" w:color="auto" w:fill="AEAAAA" w:themeFill="background2" w:themeFillShade="BF"/>
          </w:tcPr>
          <w:p w14:paraId="5891191E" w14:textId="77777777" w:rsidR="00721342" w:rsidRPr="00F87373" w:rsidRDefault="00721342" w:rsidP="00EB0E4E">
            <w:pPr>
              <w:jc w:val="both"/>
              <w:rPr>
                <w:rFonts w:cstheme="minorHAnsi"/>
                <w:sz w:val="24"/>
                <w:szCs w:val="26"/>
              </w:rPr>
            </w:pPr>
            <w:r w:rsidRPr="00F87373">
              <w:rPr>
                <w:rFonts w:cstheme="minorHAnsi"/>
                <w:sz w:val="24"/>
                <w:szCs w:val="26"/>
              </w:rPr>
              <w:t>Grant agreement</w:t>
            </w:r>
          </w:p>
        </w:tc>
        <w:tc>
          <w:tcPr>
            <w:tcW w:w="6206" w:type="dxa"/>
            <w:shd w:val="clear" w:color="auto" w:fill="auto"/>
          </w:tcPr>
          <w:p w14:paraId="517D88B6" w14:textId="718572B0" w:rsidR="00721342" w:rsidRPr="00F87373" w:rsidRDefault="008B7AD2" w:rsidP="00EB0E4E">
            <w:pPr>
              <w:jc w:val="both"/>
              <w:rPr>
                <w:rFonts w:cstheme="minorHAnsi"/>
                <w:sz w:val="24"/>
                <w:szCs w:val="26"/>
              </w:rPr>
            </w:pPr>
            <w:r w:rsidRPr="008B7AD2">
              <w:rPr>
                <w:rFonts w:cstheme="minorHAnsi"/>
                <w:sz w:val="24"/>
                <w:szCs w:val="26"/>
              </w:rPr>
              <w:t>2022-1-PL01-KA220-VET-000086953</w:t>
            </w:r>
          </w:p>
        </w:tc>
      </w:tr>
      <w:tr w:rsidR="008B7AD2" w:rsidRPr="005A7EAC" w14:paraId="3F30CDD6" w14:textId="77777777" w:rsidTr="00EB0E4E">
        <w:trPr>
          <w:trHeight w:val="313"/>
        </w:trPr>
        <w:tc>
          <w:tcPr>
            <w:tcW w:w="2639" w:type="dxa"/>
            <w:shd w:val="clear" w:color="auto" w:fill="AEAAAA" w:themeFill="background2" w:themeFillShade="BF"/>
          </w:tcPr>
          <w:p w14:paraId="0F5C27E9" w14:textId="77777777" w:rsidR="008B7AD2" w:rsidRPr="00F87373" w:rsidRDefault="008B7AD2" w:rsidP="00EB0E4E">
            <w:pPr>
              <w:jc w:val="both"/>
              <w:rPr>
                <w:rFonts w:cstheme="minorHAnsi"/>
                <w:sz w:val="24"/>
                <w:szCs w:val="26"/>
              </w:rPr>
            </w:pPr>
            <w:r w:rsidRPr="00F87373">
              <w:rPr>
                <w:rFonts w:cstheme="minorHAnsi"/>
                <w:sz w:val="24"/>
                <w:szCs w:val="26"/>
              </w:rPr>
              <w:t>Programme</w:t>
            </w:r>
          </w:p>
        </w:tc>
        <w:tc>
          <w:tcPr>
            <w:tcW w:w="6206" w:type="dxa"/>
            <w:shd w:val="clear" w:color="auto" w:fill="auto"/>
          </w:tcPr>
          <w:p w14:paraId="5D73D149" w14:textId="119C740C" w:rsidR="008B7AD2" w:rsidRPr="00F87373" w:rsidRDefault="008B7AD2" w:rsidP="00EB0E4E">
            <w:pPr>
              <w:jc w:val="both"/>
              <w:rPr>
                <w:rFonts w:cstheme="minorHAnsi"/>
                <w:sz w:val="24"/>
                <w:szCs w:val="26"/>
              </w:rPr>
            </w:pPr>
            <w:r w:rsidRPr="00F87373">
              <w:rPr>
                <w:rFonts w:cstheme="minorHAnsi"/>
                <w:sz w:val="24"/>
                <w:szCs w:val="26"/>
              </w:rPr>
              <w:t xml:space="preserve"> Erasmus+</w:t>
            </w:r>
          </w:p>
        </w:tc>
      </w:tr>
      <w:tr w:rsidR="008B7AD2" w:rsidRPr="005A7EAC" w14:paraId="6FA2AD39" w14:textId="77777777" w:rsidTr="00EB0E4E">
        <w:trPr>
          <w:trHeight w:val="412"/>
        </w:trPr>
        <w:tc>
          <w:tcPr>
            <w:tcW w:w="2639" w:type="dxa"/>
            <w:shd w:val="clear" w:color="auto" w:fill="AEAAAA" w:themeFill="background2" w:themeFillShade="BF"/>
          </w:tcPr>
          <w:p w14:paraId="4E556F4C" w14:textId="5005BCC1" w:rsidR="008B7AD2" w:rsidRPr="00F87373" w:rsidRDefault="00EB0E4E" w:rsidP="00EB0E4E">
            <w:pPr>
              <w:jc w:val="both"/>
              <w:rPr>
                <w:rFonts w:cstheme="minorHAnsi"/>
                <w:sz w:val="24"/>
                <w:szCs w:val="26"/>
              </w:rPr>
            </w:pPr>
            <w:r w:rsidRPr="00F87373">
              <w:rPr>
                <w:rFonts w:cstheme="minorHAnsi"/>
                <w:sz w:val="24"/>
                <w:szCs w:val="26"/>
              </w:rPr>
              <w:t>Action</w:t>
            </w:r>
          </w:p>
        </w:tc>
        <w:tc>
          <w:tcPr>
            <w:tcW w:w="6206" w:type="dxa"/>
            <w:shd w:val="clear" w:color="auto" w:fill="auto"/>
          </w:tcPr>
          <w:p w14:paraId="3E9B874F" w14:textId="2DCE2500" w:rsidR="008B7AD2" w:rsidRPr="00F87373" w:rsidRDefault="008B7AD2" w:rsidP="00EB0E4E">
            <w:pPr>
              <w:jc w:val="both"/>
              <w:rPr>
                <w:rFonts w:cstheme="minorHAnsi"/>
                <w:sz w:val="24"/>
                <w:szCs w:val="26"/>
              </w:rPr>
            </w:pPr>
            <w:r w:rsidRPr="008B7AD2">
              <w:rPr>
                <w:rFonts w:cstheme="minorHAnsi"/>
                <w:sz w:val="24"/>
                <w:szCs w:val="26"/>
              </w:rPr>
              <w:t>Cooperation partnerships in vocational</w:t>
            </w:r>
            <w:r>
              <w:rPr>
                <w:rFonts w:cstheme="minorHAnsi"/>
                <w:sz w:val="24"/>
                <w:szCs w:val="26"/>
              </w:rPr>
              <w:t xml:space="preserve"> </w:t>
            </w:r>
            <w:r w:rsidRPr="008B7AD2">
              <w:rPr>
                <w:rFonts w:cstheme="minorHAnsi"/>
                <w:sz w:val="24"/>
                <w:szCs w:val="26"/>
              </w:rPr>
              <w:t>education and training</w:t>
            </w:r>
          </w:p>
        </w:tc>
      </w:tr>
      <w:tr w:rsidR="008B7AD2" w:rsidRPr="005A7EAC" w14:paraId="407BC65F" w14:textId="77777777" w:rsidTr="00EB0E4E">
        <w:trPr>
          <w:trHeight w:val="313"/>
        </w:trPr>
        <w:tc>
          <w:tcPr>
            <w:tcW w:w="2639" w:type="dxa"/>
            <w:shd w:val="clear" w:color="auto" w:fill="AEAAAA" w:themeFill="background2" w:themeFillShade="BF"/>
          </w:tcPr>
          <w:p w14:paraId="6029AAEC" w14:textId="77777777" w:rsidR="008B7AD2" w:rsidRPr="00F87373" w:rsidRDefault="008B7AD2" w:rsidP="00EB0E4E">
            <w:pPr>
              <w:jc w:val="both"/>
              <w:rPr>
                <w:rFonts w:cstheme="minorHAnsi"/>
                <w:sz w:val="24"/>
                <w:szCs w:val="26"/>
              </w:rPr>
            </w:pPr>
            <w:r w:rsidRPr="00F87373">
              <w:rPr>
                <w:rFonts w:cstheme="minorHAnsi"/>
                <w:sz w:val="24"/>
                <w:szCs w:val="26"/>
              </w:rPr>
              <w:t>Project acronym</w:t>
            </w:r>
          </w:p>
        </w:tc>
        <w:tc>
          <w:tcPr>
            <w:tcW w:w="6206" w:type="dxa"/>
            <w:shd w:val="clear" w:color="auto" w:fill="auto"/>
          </w:tcPr>
          <w:p w14:paraId="398F1094" w14:textId="380FFA29" w:rsidR="008B7AD2" w:rsidRPr="00F87373" w:rsidRDefault="008B7AD2" w:rsidP="00EB0E4E">
            <w:pPr>
              <w:jc w:val="both"/>
              <w:rPr>
                <w:rFonts w:cstheme="minorHAnsi"/>
                <w:sz w:val="24"/>
                <w:szCs w:val="26"/>
              </w:rPr>
            </w:pPr>
            <w:r w:rsidRPr="008B7AD2">
              <w:rPr>
                <w:rFonts w:cstheme="minorHAnsi"/>
                <w:sz w:val="24"/>
                <w:szCs w:val="26"/>
              </w:rPr>
              <w:t>3D4DEA</w:t>
            </w:r>
          </w:p>
        </w:tc>
      </w:tr>
      <w:tr w:rsidR="008B7AD2" w:rsidRPr="005A7EAC" w14:paraId="5B3A7AFD" w14:textId="77777777" w:rsidTr="00EB0E4E">
        <w:trPr>
          <w:trHeight w:val="313"/>
        </w:trPr>
        <w:tc>
          <w:tcPr>
            <w:tcW w:w="2639" w:type="dxa"/>
            <w:shd w:val="clear" w:color="auto" w:fill="AEAAAA" w:themeFill="background2" w:themeFillShade="BF"/>
          </w:tcPr>
          <w:p w14:paraId="677604B9" w14:textId="77777777" w:rsidR="008B7AD2" w:rsidRPr="00F87373" w:rsidRDefault="008B7AD2" w:rsidP="00EB0E4E">
            <w:pPr>
              <w:jc w:val="both"/>
              <w:rPr>
                <w:rFonts w:cstheme="minorHAnsi"/>
                <w:sz w:val="24"/>
                <w:szCs w:val="26"/>
              </w:rPr>
            </w:pPr>
            <w:r w:rsidRPr="00F87373">
              <w:rPr>
                <w:rFonts w:cstheme="minorHAnsi"/>
                <w:sz w:val="24"/>
                <w:szCs w:val="26"/>
              </w:rPr>
              <w:t>Project title</w:t>
            </w:r>
          </w:p>
        </w:tc>
        <w:tc>
          <w:tcPr>
            <w:tcW w:w="6206" w:type="dxa"/>
            <w:shd w:val="clear" w:color="auto" w:fill="auto"/>
          </w:tcPr>
          <w:p w14:paraId="35A021B9" w14:textId="7F740442" w:rsidR="008B7AD2" w:rsidRPr="00F87373" w:rsidRDefault="008B7AD2" w:rsidP="00EB0E4E">
            <w:pPr>
              <w:jc w:val="both"/>
              <w:rPr>
                <w:rFonts w:cstheme="minorHAnsi"/>
                <w:sz w:val="24"/>
                <w:szCs w:val="26"/>
              </w:rPr>
            </w:pPr>
            <w:r w:rsidRPr="008B7AD2">
              <w:rPr>
                <w:rFonts w:cstheme="minorHAnsi"/>
                <w:sz w:val="24"/>
                <w:szCs w:val="26"/>
              </w:rPr>
              <w:t>3D4DEAF-Promoting digital transformation and social</w:t>
            </w:r>
            <w:r>
              <w:rPr>
                <w:rFonts w:cstheme="minorHAnsi"/>
                <w:sz w:val="24"/>
                <w:szCs w:val="26"/>
              </w:rPr>
              <w:t xml:space="preserve"> </w:t>
            </w:r>
            <w:r w:rsidRPr="008B7AD2">
              <w:rPr>
                <w:rFonts w:cstheme="minorHAnsi"/>
                <w:sz w:val="24"/>
                <w:szCs w:val="26"/>
              </w:rPr>
              <w:t>innovation in VET for better access of deaf students to the</w:t>
            </w:r>
            <w:r>
              <w:rPr>
                <w:rFonts w:cstheme="minorHAnsi"/>
                <w:sz w:val="24"/>
                <w:szCs w:val="26"/>
              </w:rPr>
              <w:t xml:space="preserve"> </w:t>
            </w:r>
            <w:r w:rsidRPr="008B7AD2">
              <w:rPr>
                <w:rFonts w:cstheme="minorHAnsi"/>
                <w:sz w:val="24"/>
                <w:szCs w:val="26"/>
              </w:rPr>
              <w:t>labour market</w:t>
            </w:r>
          </w:p>
        </w:tc>
      </w:tr>
      <w:tr w:rsidR="008B7AD2" w:rsidRPr="005A7EAC" w14:paraId="09FB62DC" w14:textId="77777777" w:rsidTr="00EB0E4E">
        <w:trPr>
          <w:trHeight w:val="331"/>
        </w:trPr>
        <w:tc>
          <w:tcPr>
            <w:tcW w:w="2639" w:type="dxa"/>
            <w:shd w:val="clear" w:color="auto" w:fill="AEAAAA" w:themeFill="background2" w:themeFillShade="BF"/>
          </w:tcPr>
          <w:p w14:paraId="6D8D325F" w14:textId="77777777" w:rsidR="008B7AD2" w:rsidRPr="00F87373" w:rsidRDefault="008B7AD2" w:rsidP="00EB0E4E">
            <w:pPr>
              <w:jc w:val="both"/>
              <w:rPr>
                <w:rFonts w:cstheme="minorHAnsi"/>
                <w:sz w:val="24"/>
                <w:szCs w:val="26"/>
              </w:rPr>
            </w:pPr>
            <w:r w:rsidRPr="00F87373">
              <w:rPr>
                <w:rFonts w:cstheme="minorHAnsi"/>
                <w:sz w:val="24"/>
                <w:szCs w:val="26"/>
              </w:rPr>
              <w:t>Project starting date</w:t>
            </w:r>
          </w:p>
        </w:tc>
        <w:tc>
          <w:tcPr>
            <w:tcW w:w="6206" w:type="dxa"/>
            <w:shd w:val="clear" w:color="auto" w:fill="auto"/>
          </w:tcPr>
          <w:p w14:paraId="5CD24705" w14:textId="44A3B888" w:rsidR="008B7AD2" w:rsidRPr="00F87373" w:rsidRDefault="008B7AD2" w:rsidP="00EB0E4E">
            <w:pPr>
              <w:jc w:val="both"/>
              <w:rPr>
                <w:rFonts w:cstheme="minorHAnsi"/>
                <w:sz w:val="24"/>
                <w:szCs w:val="26"/>
              </w:rPr>
            </w:pPr>
            <w:r>
              <w:rPr>
                <w:rFonts w:cstheme="minorHAnsi"/>
                <w:sz w:val="24"/>
                <w:szCs w:val="26"/>
              </w:rPr>
              <w:t>01/11/2022</w:t>
            </w:r>
          </w:p>
        </w:tc>
      </w:tr>
      <w:tr w:rsidR="008B7AD2" w:rsidRPr="005A7EAC" w14:paraId="7609EE03" w14:textId="77777777" w:rsidTr="00EB0E4E">
        <w:trPr>
          <w:trHeight w:val="313"/>
        </w:trPr>
        <w:tc>
          <w:tcPr>
            <w:tcW w:w="2639" w:type="dxa"/>
            <w:shd w:val="clear" w:color="auto" w:fill="AEAAAA" w:themeFill="background2" w:themeFillShade="BF"/>
          </w:tcPr>
          <w:p w14:paraId="0C0C55CF" w14:textId="77777777" w:rsidR="008B7AD2" w:rsidRPr="00F87373" w:rsidRDefault="008B7AD2" w:rsidP="00EB0E4E">
            <w:pPr>
              <w:jc w:val="both"/>
              <w:rPr>
                <w:rFonts w:cstheme="minorHAnsi"/>
                <w:sz w:val="24"/>
                <w:szCs w:val="26"/>
              </w:rPr>
            </w:pPr>
            <w:r w:rsidRPr="00F87373">
              <w:rPr>
                <w:rFonts w:cstheme="minorHAnsi"/>
                <w:sz w:val="24"/>
                <w:szCs w:val="26"/>
              </w:rPr>
              <w:t>Project duration</w:t>
            </w:r>
          </w:p>
        </w:tc>
        <w:tc>
          <w:tcPr>
            <w:tcW w:w="6206" w:type="dxa"/>
            <w:shd w:val="clear" w:color="auto" w:fill="auto"/>
          </w:tcPr>
          <w:p w14:paraId="5044AF67" w14:textId="1623EE34" w:rsidR="008B7AD2" w:rsidRPr="00F87373" w:rsidRDefault="008B7AD2" w:rsidP="00EB0E4E">
            <w:pPr>
              <w:jc w:val="both"/>
              <w:rPr>
                <w:rFonts w:cstheme="minorHAnsi"/>
                <w:sz w:val="24"/>
                <w:szCs w:val="26"/>
              </w:rPr>
            </w:pPr>
            <w:r>
              <w:rPr>
                <w:rFonts w:cstheme="minorHAnsi"/>
                <w:sz w:val="24"/>
                <w:szCs w:val="26"/>
              </w:rPr>
              <w:t>30 months</w:t>
            </w:r>
          </w:p>
        </w:tc>
      </w:tr>
      <w:tr w:rsidR="008B7AD2" w:rsidRPr="005A7EAC" w14:paraId="088138E5" w14:textId="77777777" w:rsidTr="00EB0E4E">
        <w:trPr>
          <w:trHeight w:val="313"/>
        </w:trPr>
        <w:tc>
          <w:tcPr>
            <w:tcW w:w="2639" w:type="dxa"/>
            <w:shd w:val="clear" w:color="auto" w:fill="AEAAAA" w:themeFill="background2" w:themeFillShade="BF"/>
          </w:tcPr>
          <w:p w14:paraId="75FCE2FF" w14:textId="77777777" w:rsidR="008B7AD2" w:rsidRPr="00F87373" w:rsidRDefault="008B7AD2" w:rsidP="00EB0E4E">
            <w:pPr>
              <w:jc w:val="both"/>
              <w:rPr>
                <w:rFonts w:cstheme="minorHAnsi"/>
                <w:sz w:val="24"/>
                <w:szCs w:val="26"/>
              </w:rPr>
            </w:pPr>
            <w:r w:rsidRPr="00F87373">
              <w:rPr>
                <w:rFonts w:cstheme="minorHAnsi"/>
                <w:sz w:val="24"/>
                <w:szCs w:val="26"/>
              </w:rPr>
              <w:t>Project end date</w:t>
            </w:r>
          </w:p>
        </w:tc>
        <w:tc>
          <w:tcPr>
            <w:tcW w:w="6206" w:type="dxa"/>
            <w:shd w:val="clear" w:color="auto" w:fill="auto"/>
          </w:tcPr>
          <w:p w14:paraId="019D3EDC" w14:textId="3CF7CE1E" w:rsidR="008B7AD2" w:rsidRPr="00F87373" w:rsidRDefault="008B7AD2" w:rsidP="00EB0E4E">
            <w:pPr>
              <w:jc w:val="both"/>
              <w:rPr>
                <w:rFonts w:cstheme="minorHAnsi"/>
                <w:sz w:val="24"/>
                <w:szCs w:val="26"/>
              </w:rPr>
            </w:pPr>
            <w:r>
              <w:rPr>
                <w:rFonts w:cstheme="minorHAnsi"/>
                <w:sz w:val="24"/>
                <w:szCs w:val="26"/>
              </w:rPr>
              <w:t>30/01/2025</w:t>
            </w:r>
          </w:p>
        </w:tc>
      </w:tr>
    </w:tbl>
    <w:p w14:paraId="584AE090" w14:textId="77777777" w:rsidR="00721342" w:rsidRPr="00721342" w:rsidRDefault="00721342" w:rsidP="00721342"/>
    <w:p w14:paraId="4D04207C" w14:textId="77777777" w:rsidR="00721342" w:rsidRPr="00721342" w:rsidRDefault="00721342" w:rsidP="00721342"/>
    <w:p w14:paraId="06D0295A" w14:textId="08C646DD" w:rsidR="00721342" w:rsidRDefault="00721342" w:rsidP="00721342"/>
    <w:p w14:paraId="39994EBF" w14:textId="496ED3A5" w:rsidR="00721342" w:rsidRDefault="00721342" w:rsidP="00721342"/>
    <w:p w14:paraId="3BBA4E1D" w14:textId="75537AF6" w:rsidR="00721342" w:rsidRDefault="00721342" w:rsidP="00721342"/>
    <w:p w14:paraId="1EA113B3" w14:textId="247D75E6" w:rsidR="00721342" w:rsidRDefault="00721342" w:rsidP="00721342"/>
    <w:p w14:paraId="7C20B10C" w14:textId="0D3517EB" w:rsidR="00721342" w:rsidRDefault="00721342" w:rsidP="00721342"/>
    <w:p w14:paraId="48E33DE7" w14:textId="50CAB536" w:rsidR="00721342" w:rsidRDefault="00721342" w:rsidP="00721342"/>
    <w:p w14:paraId="0B96C0D9" w14:textId="3170EB59" w:rsidR="00721342" w:rsidRDefault="00721342" w:rsidP="00721342"/>
    <w:p w14:paraId="540176BE" w14:textId="573546D1" w:rsidR="00721342" w:rsidRDefault="00721342" w:rsidP="00721342"/>
    <w:p w14:paraId="31EA9A11" w14:textId="1025455C" w:rsidR="00721342" w:rsidRDefault="00721342" w:rsidP="00721342"/>
    <w:p w14:paraId="00E2A355" w14:textId="11A09D3E" w:rsidR="00721342" w:rsidRDefault="00721342" w:rsidP="00721342"/>
    <w:p w14:paraId="59BD1130" w14:textId="45495696" w:rsidR="00721342" w:rsidRDefault="00721342" w:rsidP="00721342"/>
    <w:p w14:paraId="2093EB4C" w14:textId="45C47680" w:rsidR="00721342" w:rsidRDefault="00721342" w:rsidP="00721342"/>
    <w:p w14:paraId="1D02E751" w14:textId="77777777" w:rsidR="00EB0E4E" w:rsidRPr="00721342" w:rsidRDefault="00EB0E4E" w:rsidP="00721342"/>
    <w:p w14:paraId="7EA2E284" w14:textId="77777777" w:rsidR="00721342" w:rsidRDefault="00721342" w:rsidP="00721342">
      <w:pPr>
        <w:rPr>
          <w:b/>
          <w:sz w:val="28"/>
          <w:szCs w:val="28"/>
        </w:rPr>
      </w:pPr>
      <w:r w:rsidRPr="005A7EAC">
        <w:rPr>
          <w:b/>
          <w:sz w:val="28"/>
          <w:szCs w:val="28"/>
        </w:rPr>
        <w:lastRenderedPageBreak/>
        <w:t>PROJECT CONSORTIUM</w:t>
      </w:r>
    </w:p>
    <w:tbl>
      <w:tblPr>
        <w:tblStyle w:val="TableGrid"/>
        <w:tblW w:w="9241" w:type="dxa"/>
        <w:tblBorders>
          <w:left w:val="none" w:sz="0" w:space="0" w:color="auto"/>
          <w:right w:val="none" w:sz="0" w:space="0" w:color="auto"/>
          <w:insideV w:val="none" w:sz="0" w:space="0" w:color="auto"/>
        </w:tblBorders>
        <w:tblLook w:val="04A0" w:firstRow="1" w:lastRow="0" w:firstColumn="1" w:lastColumn="0" w:noHBand="0" w:noVBand="1"/>
      </w:tblPr>
      <w:tblGrid>
        <w:gridCol w:w="1419"/>
        <w:gridCol w:w="650"/>
        <w:gridCol w:w="3857"/>
        <w:gridCol w:w="3315"/>
      </w:tblGrid>
      <w:tr w:rsidR="00721342" w:rsidRPr="008B7AD2" w14:paraId="3E39CCF8" w14:textId="77777777" w:rsidTr="008B7AD2">
        <w:trPr>
          <w:trHeight w:val="1374"/>
        </w:trPr>
        <w:tc>
          <w:tcPr>
            <w:tcW w:w="1319" w:type="dxa"/>
            <w:tcBorders>
              <w:right w:val="single" w:sz="4" w:space="0" w:color="auto"/>
            </w:tcBorders>
            <w:vAlign w:val="center"/>
          </w:tcPr>
          <w:p w14:paraId="01F2781D" w14:textId="77777777" w:rsidR="00721342" w:rsidRPr="008B7AD2" w:rsidRDefault="00721342" w:rsidP="00D921D3">
            <w:pPr>
              <w:jc w:val="center"/>
              <w:rPr>
                <w:b/>
                <w:sz w:val="24"/>
                <w:szCs w:val="24"/>
              </w:rPr>
            </w:pPr>
            <w:r w:rsidRPr="008B7AD2">
              <w:rPr>
                <w:b/>
                <w:sz w:val="24"/>
                <w:szCs w:val="24"/>
              </w:rPr>
              <w:t>P1 - Coordinator</w:t>
            </w:r>
          </w:p>
        </w:tc>
        <w:tc>
          <w:tcPr>
            <w:tcW w:w="657" w:type="dxa"/>
            <w:tcBorders>
              <w:left w:val="single" w:sz="4" w:space="0" w:color="auto"/>
              <w:right w:val="single" w:sz="4" w:space="0" w:color="auto"/>
            </w:tcBorders>
            <w:vAlign w:val="center"/>
          </w:tcPr>
          <w:p w14:paraId="4DF6B4A5" w14:textId="77777777" w:rsidR="00721342" w:rsidRPr="008B7AD2" w:rsidRDefault="00721342" w:rsidP="00D921D3">
            <w:pPr>
              <w:jc w:val="center"/>
              <w:rPr>
                <w:sz w:val="24"/>
                <w:szCs w:val="24"/>
              </w:rPr>
            </w:pPr>
            <w:r w:rsidRPr="008B7AD2">
              <w:rPr>
                <w:sz w:val="24"/>
                <w:szCs w:val="24"/>
              </w:rPr>
              <w:t>PL</w:t>
            </w:r>
          </w:p>
        </w:tc>
        <w:tc>
          <w:tcPr>
            <w:tcW w:w="3946" w:type="dxa"/>
            <w:tcBorders>
              <w:left w:val="single" w:sz="4" w:space="0" w:color="auto"/>
              <w:right w:val="single" w:sz="4" w:space="0" w:color="auto"/>
            </w:tcBorders>
            <w:vAlign w:val="center"/>
          </w:tcPr>
          <w:p w14:paraId="0C7CFC0F" w14:textId="77777777" w:rsidR="00721342" w:rsidRPr="008B7AD2" w:rsidRDefault="00721342" w:rsidP="00D921D3">
            <w:pPr>
              <w:jc w:val="center"/>
              <w:rPr>
                <w:sz w:val="24"/>
                <w:szCs w:val="24"/>
              </w:rPr>
            </w:pPr>
            <w:r w:rsidRPr="008B7AD2">
              <w:rPr>
                <w:rFonts w:cstheme="minorHAnsi"/>
                <w:sz w:val="24"/>
                <w:szCs w:val="24"/>
              </w:rPr>
              <w:t>SPOLECZNA AKADEMIA NAUK (SAN)</w:t>
            </w:r>
          </w:p>
        </w:tc>
        <w:tc>
          <w:tcPr>
            <w:tcW w:w="3319" w:type="dxa"/>
            <w:vAlign w:val="center"/>
          </w:tcPr>
          <w:p w14:paraId="31DE74F6" w14:textId="77777777" w:rsidR="00721342" w:rsidRPr="008B7AD2" w:rsidRDefault="00721342" w:rsidP="00D921D3">
            <w:pPr>
              <w:jc w:val="center"/>
              <w:rPr>
                <w:sz w:val="24"/>
                <w:szCs w:val="24"/>
              </w:rPr>
            </w:pPr>
            <w:r w:rsidRPr="008B7AD2">
              <w:rPr>
                <w:rFonts w:cstheme="minorHAnsi"/>
                <w:b/>
                <w:bCs/>
                <w:noProof/>
                <w:sz w:val="24"/>
                <w:szCs w:val="24"/>
                <w:lang w:val="pl-PL" w:eastAsia="pl-PL"/>
              </w:rPr>
              <w:drawing>
                <wp:inline distT="0" distB="0" distL="0" distR="0" wp14:anchorId="5A883176" wp14:editId="35DE54A8">
                  <wp:extent cx="1591972" cy="531280"/>
                  <wp:effectExtent l="0" t="0" r="8255"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591972" cy="531280"/>
                          </a:xfrm>
                          <a:prstGeom prst="rect">
                            <a:avLst/>
                          </a:prstGeom>
                        </pic:spPr>
                      </pic:pic>
                    </a:graphicData>
                  </a:graphic>
                </wp:inline>
              </w:drawing>
            </w:r>
          </w:p>
        </w:tc>
      </w:tr>
      <w:tr w:rsidR="00721342" w:rsidRPr="008B7AD2" w14:paraId="2D0728EC" w14:textId="77777777" w:rsidTr="00983900">
        <w:trPr>
          <w:trHeight w:val="1911"/>
        </w:trPr>
        <w:tc>
          <w:tcPr>
            <w:tcW w:w="1319" w:type="dxa"/>
            <w:tcBorders>
              <w:right w:val="single" w:sz="4" w:space="0" w:color="auto"/>
            </w:tcBorders>
            <w:vAlign w:val="center"/>
          </w:tcPr>
          <w:p w14:paraId="4A792A7F" w14:textId="28BE5E7A" w:rsidR="00721342" w:rsidRPr="008B7AD2" w:rsidRDefault="008B7AD2" w:rsidP="00D921D3">
            <w:pPr>
              <w:jc w:val="center"/>
              <w:rPr>
                <w:b/>
                <w:sz w:val="24"/>
                <w:szCs w:val="24"/>
              </w:rPr>
            </w:pPr>
            <w:r w:rsidRPr="008B7AD2">
              <w:rPr>
                <w:b/>
                <w:sz w:val="24"/>
                <w:szCs w:val="24"/>
              </w:rPr>
              <w:t>P2</w:t>
            </w:r>
          </w:p>
        </w:tc>
        <w:tc>
          <w:tcPr>
            <w:tcW w:w="657" w:type="dxa"/>
            <w:tcBorders>
              <w:left w:val="single" w:sz="4" w:space="0" w:color="auto"/>
              <w:right w:val="single" w:sz="4" w:space="0" w:color="auto"/>
            </w:tcBorders>
            <w:vAlign w:val="center"/>
          </w:tcPr>
          <w:p w14:paraId="25603343" w14:textId="3054AB30" w:rsidR="00721342" w:rsidRPr="008B7AD2" w:rsidRDefault="008B7AD2" w:rsidP="00D921D3">
            <w:pPr>
              <w:jc w:val="center"/>
              <w:rPr>
                <w:sz w:val="24"/>
                <w:szCs w:val="24"/>
              </w:rPr>
            </w:pPr>
            <w:r w:rsidRPr="008B7AD2">
              <w:rPr>
                <w:sz w:val="24"/>
                <w:szCs w:val="24"/>
              </w:rPr>
              <w:t>IT</w:t>
            </w:r>
          </w:p>
        </w:tc>
        <w:tc>
          <w:tcPr>
            <w:tcW w:w="3946" w:type="dxa"/>
            <w:tcBorders>
              <w:left w:val="single" w:sz="4" w:space="0" w:color="auto"/>
              <w:right w:val="single" w:sz="4" w:space="0" w:color="auto"/>
            </w:tcBorders>
            <w:vAlign w:val="center"/>
          </w:tcPr>
          <w:p w14:paraId="769B651B" w14:textId="63E43C4A" w:rsidR="00721342" w:rsidRPr="00C16FC5" w:rsidRDefault="00721342" w:rsidP="00D921D3">
            <w:pPr>
              <w:jc w:val="center"/>
              <w:rPr>
                <w:sz w:val="24"/>
                <w:szCs w:val="24"/>
                <w:lang w:val="es-ES"/>
              </w:rPr>
            </w:pPr>
            <w:r w:rsidRPr="00C16FC5">
              <w:rPr>
                <w:sz w:val="24"/>
                <w:szCs w:val="24"/>
                <w:lang w:val="es-ES"/>
              </w:rPr>
              <w:t>Fondazione Istituto dei Sordi di Torino ONLUS</w:t>
            </w:r>
          </w:p>
        </w:tc>
        <w:tc>
          <w:tcPr>
            <w:tcW w:w="3319" w:type="dxa"/>
            <w:vAlign w:val="center"/>
          </w:tcPr>
          <w:p w14:paraId="4282BFDC" w14:textId="275EE453" w:rsidR="00721342" w:rsidRPr="008B7AD2" w:rsidRDefault="00983900" w:rsidP="00D921D3">
            <w:pPr>
              <w:jc w:val="center"/>
              <w:rPr>
                <w:sz w:val="24"/>
                <w:szCs w:val="24"/>
              </w:rPr>
            </w:pPr>
            <w:r>
              <w:rPr>
                <w:noProof/>
              </w:rPr>
              <w:drawing>
                <wp:inline distT="0" distB="0" distL="0" distR="0" wp14:anchorId="6608E65C" wp14:editId="75E0471F">
                  <wp:extent cx="829249" cy="1080000"/>
                  <wp:effectExtent l="0" t="0" r="9525"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249" cy="1080000"/>
                          </a:xfrm>
                          <a:prstGeom prst="rect">
                            <a:avLst/>
                          </a:prstGeom>
                          <a:noFill/>
                          <a:ln>
                            <a:noFill/>
                          </a:ln>
                        </pic:spPr>
                      </pic:pic>
                    </a:graphicData>
                  </a:graphic>
                </wp:inline>
              </w:drawing>
            </w:r>
          </w:p>
        </w:tc>
      </w:tr>
      <w:tr w:rsidR="008B7AD2" w:rsidRPr="008B7AD2" w14:paraId="56BD7FD8" w14:textId="77777777" w:rsidTr="008B7AD2">
        <w:trPr>
          <w:trHeight w:val="1469"/>
        </w:trPr>
        <w:tc>
          <w:tcPr>
            <w:tcW w:w="1319" w:type="dxa"/>
            <w:tcBorders>
              <w:right w:val="single" w:sz="4" w:space="0" w:color="auto"/>
            </w:tcBorders>
            <w:vAlign w:val="center"/>
          </w:tcPr>
          <w:p w14:paraId="7AF983F8" w14:textId="06497BE6" w:rsidR="008B7AD2" w:rsidRPr="008B7AD2" w:rsidRDefault="008B7AD2" w:rsidP="008B7AD2">
            <w:pPr>
              <w:jc w:val="center"/>
              <w:rPr>
                <w:b/>
                <w:sz w:val="24"/>
                <w:szCs w:val="24"/>
              </w:rPr>
            </w:pPr>
            <w:r w:rsidRPr="008B7AD2">
              <w:rPr>
                <w:b/>
                <w:sz w:val="24"/>
                <w:szCs w:val="24"/>
              </w:rPr>
              <w:t>P3</w:t>
            </w:r>
          </w:p>
        </w:tc>
        <w:tc>
          <w:tcPr>
            <w:tcW w:w="657" w:type="dxa"/>
            <w:tcBorders>
              <w:left w:val="single" w:sz="4" w:space="0" w:color="auto"/>
              <w:right w:val="single" w:sz="4" w:space="0" w:color="auto"/>
            </w:tcBorders>
            <w:vAlign w:val="center"/>
          </w:tcPr>
          <w:p w14:paraId="5148C8A3" w14:textId="5866CEEE" w:rsidR="008B7AD2" w:rsidRPr="008B7AD2" w:rsidRDefault="008B7AD2" w:rsidP="008B7AD2">
            <w:pPr>
              <w:jc w:val="center"/>
              <w:rPr>
                <w:sz w:val="24"/>
                <w:szCs w:val="24"/>
              </w:rPr>
            </w:pPr>
            <w:r w:rsidRPr="008B7AD2">
              <w:rPr>
                <w:sz w:val="24"/>
                <w:szCs w:val="24"/>
              </w:rPr>
              <w:t>CY</w:t>
            </w:r>
          </w:p>
        </w:tc>
        <w:tc>
          <w:tcPr>
            <w:tcW w:w="3946" w:type="dxa"/>
            <w:tcBorders>
              <w:left w:val="single" w:sz="4" w:space="0" w:color="auto"/>
              <w:right w:val="single" w:sz="4" w:space="0" w:color="auto"/>
            </w:tcBorders>
            <w:vAlign w:val="center"/>
          </w:tcPr>
          <w:p w14:paraId="704605AE" w14:textId="20909003" w:rsidR="008B7AD2" w:rsidRPr="008B7AD2" w:rsidRDefault="008B7AD2" w:rsidP="008B7AD2">
            <w:pPr>
              <w:jc w:val="center"/>
              <w:rPr>
                <w:sz w:val="24"/>
                <w:szCs w:val="24"/>
              </w:rPr>
            </w:pPr>
            <w:r w:rsidRPr="008B7AD2">
              <w:rPr>
                <w:sz w:val="24"/>
                <w:szCs w:val="24"/>
              </w:rPr>
              <w:t>A &amp; A Emphasys Interactive Solutions Ltd</w:t>
            </w:r>
          </w:p>
        </w:tc>
        <w:tc>
          <w:tcPr>
            <w:tcW w:w="3319" w:type="dxa"/>
            <w:vAlign w:val="center"/>
          </w:tcPr>
          <w:p w14:paraId="4954D6B3" w14:textId="4030F649" w:rsidR="008B7AD2" w:rsidRPr="008B7AD2" w:rsidRDefault="000B7813" w:rsidP="008B7AD2">
            <w:pPr>
              <w:jc w:val="center"/>
              <w:rPr>
                <w:sz w:val="24"/>
                <w:szCs w:val="24"/>
              </w:rPr>
            </w:pPr>
            <w:r>
              <w:rPr>
                <w:noProof/>
              </w:rPr>
              <w:drawing>
                <wp:inline distT="0" distB="0" distL="0" distR="0" wp14:anchorId="6C54D2D1" wp14:editId="588C460A">
                  <wp:extent cx="1851587" cy="6191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1374" cy="622398"/>
                          </a:xfrm>
                          <a:prstGeom prst="rect">
                            <a:avLst/>
                          </a:prstGeom>
                          <a:noFill/>
                          <a:ln>
                            <a:noFill/>
                          </a:ln>
                        </pic:spPr>
                      </pic:pic>
                    </a:graphicData>
                  </a:graphic>
                </wp:inline>
              </w:drawing>
            </w:r>
          </w:p>
        </w:tc>
      </w:tr>
      <w:tr w:rsidR="008B7AD2" w:rsidRPr="008B7AD2" w14:paraId="0833B665" w14:textId="77777777" w:rsidTr="008B7AD2">
        <w:trPr>
          <w:trHeight w:val="1469"/>
        </w:trPr>
        <w:tc>
          <w:tcPr>
            <w:tcW w:w="1319" w:type="dxa"/>
            <w:tcBorders>
              <w:right w:val="single" w:sz="4" w:space="0" w:color="auto"/>
            </w:tcBorders>
            <w:vAlign w:val="center"/>
          </w:tcPr>
          <w:p w14:paraId="06B9C2F3" w14:textId="4C22D802" w:rsidR="008B7AD2" w:rsidRPr="008B7AD2" w:rsidRDefault="008B7AD2" w:rsidP="008B7AD2">
            <w:pPr>
              <w:jc w:val="center"/>
              <w:rPr>
                <w:b/>
                <w:sz w:val="24"/>
                <w:szCs w:val="24"/>
              </w:rPr>
            </w:pPr>
            <w:r w:rsidRPr="008B7AD2">
              <w:rPr>
                <w:b/>
                <w:sz w:val="24"/>
                <w:szCs w:val="24"/>
              </w:rPr>
              <w:t>P4</w:t>
            </w:r>
          </w:p>
        </w:tc>
        <w:tc>
          <w:tcPr>
            <w:tcW w:w="657" w:type="dxa"/>
            <w:tcBorders>
              <w:left w:val="single" w:sz="4" w:space="0" w:color="auto"/>
              <w:right w:val="single" w:sz="4" w:space="0" w:color="auto"/>
            </w:tcBorders>
            <w:vAlign w:val="center"/>
          </w:tcPr>
          <w:p w14:paraId="1F789642" w14:textId="746FFAD3" w:rsidR="008B7AD2" w:rsidRPr="008B7AD2" w:rsidRDefault="008B7AD2" w:rsidP="008B7AD2">
            <w:pPr>
              <w:jc w:val="center"/>
              <w:rPr>
                <w:sz w:val="24"/>
                <w:szCs w:val="24"/>
              </w:rPr>
            </w:pPr>
            <w:r w:rsidRPr="008B7AD2">
              <w:rPr>
                <w:sz w:val="24"/>
                <w:szCs w:val="24"/>
              </w:rPr>
              <w:t>GR</w:t>
            </w:r>
          </w:p>
        </w:tc>
        <w:tc>
          <w:tcPr>
            <w:tcW w:w="3946" w:type="dxa"/>
            <w:tcBorders>
              <w:left w:val="single" w:sz="4" w:space="0" w:color="auto"/>
              <w:right w:val="single" w:sz="4" w:space="0" w:color="auto"/>
            </w:tcBorders>
            <w:vAlign w:val="center"/>
          </w:tcPr>
          <w:p w14:paraId="70291B5E" w14:textId="790C1290" w:rsidR="008B7AD2" w:rsidRPr="008B7AD2" w:rsidRDefault="008B7AD2" w:rsidP="008B7AD2">
            <w:pPr>
              <w:jc w:val="center"/>
              <w:rPr>
                <w:sz w:val="24"/>
                <w:szCs w:val="24"/>
              </w:rPr>
            </w:pPr>
            <w:r w:rsidRPr="008B7AD2">
              <w:rPr>
                <w:sz w:val="24"/>
                <w:szCs w:val="24"/>
              </w:rPr>
              <w:t>Public Vocational Training Institute for Students with Sensory Disabilities (visual/ hearing disorders)</w:t>
            </w:r>
          </w:p>
        </w:tc>
        <w:tc>
          <w:tcPr>
            <w:tcW w:w="3319" w:type="dxa"/>
            <w:vAlign w:val="center"/>
          </w:tcPr>
          <w:p w14:paraId="740BEA98" w14:textId="480C7916" w:rsidR="008B7AD2" w:rsidRPr="008B7AD2" w:rsidRDefault="008B7AD2" w:rsidP="008B7AD2">
            <w:pPr>
              <w:jc w:val="center"/>
              <w:rPr>
                <w:sz w:val="24"/>
                <w:szCs w:val="24"/>
              </w:rPr>
            </w:pPr>
          </w:p>
        </w:tc>
      </w:tr>
      <w:tr w:rsidR="008B7AD2" w:rsidRPr="008B7AD2" w14:paraId="59BB795B" w14:textId="77777777" w:rsidTr="008B7AD2">
        <w:trPr>
          <w:trHeight w:val="1701"/>
        </w:trPr>
        <w:tc>
          <w:tcPr>
            <w:tcW w:w="1319" w:type="dxa"/>
            <w:tcBorders>
              <w:right w:val="single" w:sz="4" w:space="0" w:color="auto"/>
            </w:tcBorders>
            <w:vAlign w:val="center"/>
          </w:tcPr>
          <w:p w14:paraId="42E8E6D4" w14:textId="6FC59A11" w:rsidR="008B7AD2" w:rsidRPr="008B7AD2" w:rsidRDefault="008B7AD2" w:rsidP="008B7AD2">
            <w:pPr>
              <w:jc w:val="center"/>
              <w:rPr>
                <w:b/>
                <w:sz w:val="24"/>
                <w:szCs w:val="24"/>
              </w:rPr>
            </w:pPr>
            <w:r w:rsidRPr="008B7AD2">
              <w:rPr>
                <w:b/>
                <w:sz w:val="24"/>
                <w:szCs w:val="24"/>
              </w:rPr>
              <w:t>P5</w:t>
            </w:r>
          </w:p>
        </w:tc>
        <w:tc>
          <w:tcPr>
            <w:tcW w:w="657" w:type="dxa"/>
            <w:tcBorders>
              <w:left w:val="single" w:sz="4" w:space="0" w:color="auto"/>
              <w:right w:val="single" w:sz="4" w:space="0" w:color="auto"/>
            </w:tcBorders>
            <w:vAlign w:val="center"/>
          </w:tcPr>
          <w:p w14:paraId="7BEC3E4F" w14:textId="361261CA" w:rsidR="008B7AD2" w:rsidRPr="008B7AD2" w:rsidRDefault="008B7AD2" w:rsidP="008B7AD2">
            <w:pPr>
              <w:jc w:val="center"/>
              <w:rPr>
                <w:sz w:val="24"/>
                <w:szCs w:val="24"/>
              </w:rPr>
            </w:pPr>
            <w:r w:rsidRPr="008B7AD2">
              <w:rPr>
                <w:sz w:val="24"/>
                <w:szCs w:val="24"/>
              </w:rPr>
              <w:t>PL</w:t>
            </w:r>
          </w:p>
        </w:tc>
        <w:tc>
          <w:tcPr>
            <w:tcW w:w="3946" w:type="dxa"/>
            <w:tcBorders>
              <w:left w:val="single" w:sz="4" w:space="0" w:color="auto"/>
              <w:right w:val="single" w:sz="4" w:space="0" w:color="auto"/>
            </w:tcBorders>
            <w:vAlign w:val="center"/>
          </w:tcPr>
          <w:p w14:paraId="1BDCD46D" w14:textId="772DC526" w:rsidR="008B7AD2" w:rsidRPr="008B7AD2" w:rsidRDefault="008B7AD2" w:rsidP="008B7AD2">
            <w:pPr>
              <w:rPr>
                <w:sz w:val="24"/>
                <w:szCs w:val="24"/>
              </w:rPr>
            </w:pPr>
          </w:p>
          <w:p w14:paraId="31F12BDB" w14:textId="0A10F35A" w:rsidR="008B7AD2" w:rsidRPr="008B7AD2" w:rsidRDefault="008B7AD2" w:rsidP="008B7AD2">
            <w:pPr>
              <w:rPr>
                <w:sz w:val="24"/>
                <w:szCs w:val="24"/>
              </w:rPr>
            </w:pPr>
            <w:r w:rsidRPr="008B7AD2">
              <w:rPr>
                <w:sz w:val="24"/>
                <w:szCs w:val="24"/>
              </w:rPr>
              <w:t>Stowarzyszenie Rozwoju "Pitagoras"</w:t>
            </w:r>
          </w:p>
        </w:tc>
        <w:tc>
          <w:tcPr>
            <w:tcW w:w="3319" w:type="dxa"/>
            <w:vAlign w:val="center"/>
          </w:tcPr>
          <w:p w14:paraId="01CE12FF" w14:textId="124F3511" w:rsidR="008B7AD2" w:rsidRPr="008B7AD2" w:rsidRDefault="006A5142" w:rsidP="008B7AD2">
            <w:pPr>
              <w:jc w:val="center"/>
              <w:rPr>
                <w:sz w:val="24"/>
                <w:szCs w:val="24"/>
              </w:rPr>
            </w:pPr>
            <w:r>
              <w:rPr>
                <w:noProof/>
              </w:rPr>
              <w:drawing>
                <wp:inline distT="0" distB="0" distL="0" distR="0" wp14:anchorId="1C1B8211" wp14:editId="481F399E">
                  <wp:extent cx="1895475" cy="5334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6115" cy="533580"/>
                          </a:xfrm>
                          <a:prstGeom prst="rect">
                            <a:avLst/>
                          </a:prstGeom>
                          <a:noFill/>
                          <a:ln>
                            <a:noFill/>
                          </a:ln>
                        </pic:spPr>
                      </pic:pic>
                    </a:graphicData>
                  </a:graphic>
                </wp:inline>
              </w:drawing>
            </w:r>
          </w:p>
        </w:tc>
      </w:tr>
      <w:tr w:rsidR="008B7AD2" w:rsidRPr="008B7AD2" w14:paraId="225C398E" w14:textId="77777777" w:rsidTr="008B7AD2">
        <w:trPr>
          <w:trHeight w:val="1359"/>
        </w:trPr>
        <w:tc>
          <w:tcPr>
            <w:tcW w:w="1319" w:type="dxa"/>
            <w:tcBorders>
              <w:right w:val="single" w:sz="4" w:space="0" w:color="auto"/>
            </w:tcBorders>
            <w:vAlign w:val="center"/>
          </w:tcPr>
          <w:p w14:paraId="082B8529" w14:textId="0AB47A1C" w:rsidR="008B7AD2" w:rsidRPr="008B7AD2" w:rsidRDefault="008B7AD2" w:rsidP="008B7AD2">
            <w:pPr>
              <w:jc w:val="center"/>
              <w:rPr>
                <w:b/>
                <w:sz w:val="24"/>
                <w:szCs w:val="24"/>
              </w:rPr>
            </w:pPr>
            <w:r w:rsidRPr="008B7AD2">
              <w:rPr>
                <w:b/>
                <w:sz w:val="24"/>
                <w:szCs w:val="24"/>
              </w:rPr>
              <w:t>P6</w:t>
            </w:r>
          </w:p>
        </w:tc>
        <w:tc>
          <w:tcPr>
            <w:tcW w:w="657" w:type="dxa"/>
            <w:tcBorders>
              <w:left w:val="single" w:sz="4" w:space="0" w:color="auto"/>
              <w:right w:val="single" w:sz="4" w:space="0" w:color="auto"/>
            </w:tcBorders>
            <w:vAlign w:val="center"/>
          </w:tcPr>
          <w:p w14:paraId="08A02BFF" w14:textId="468CDB0F" w:rsidR="008B7AD2" w:rsidRPr="008B7AD2" w:rsidRDefault="008B7AD2" w:rsidP="008B7AD2">
            <w:pPr>
              <w:jc w:val="center"/>
              <w:rPr>
                <w:sz w:val="24"/>
                <w:szCs w:val="24"/>
              </w:rPr>
            </w:pPr>
            <w:r w:rsidRPr="008B7AD2">
              <w:rPr>
                <w:sz w:val="24"/>
                <w:szCs w:val="24"/>
              </w:rPr>
              <w:t>IT</w:t>
            </w:r>
          </w:p>
        </w:tc>
        <w:tc>
          <w:tcPr>
            <w:tcW w:w="3946" w:type="dxa"/>
            <w:tcBorders>
              <w:left w:val="single" w:sz="4" w:space="0" w:color="auto"/>
              <w:right w:val="single" w:sz="4" w:space="0" w:color="auto"/>
            </w:tcBorders>
            <w:vAlign w:val="center"/>
          </w:tcPr>
          <w:p w14:paraId="03C48EA9" w14:textId="61A6753A" w:rsidR="008B7AD2" w:rsidRPr="008B7AD2" w:rsidRDefault="008B7AD2" w:rsidP="008B7AD2">
            <w:pPr>
              <w:jc w:val="center"/>
              <w:rPr>
                <w:sz w:val="24"/>
                <w:szCs w:val="24"/>
              </w:rPr>
            </w:pPr>
            <w:r w:rsidRPr="008B7AD2">
              <w:rPr>
                <w:rFonts w:cstheme="minorHAnsi"/>
                <w:sz w:val="24"/>
                <w:szCs w:val="24"/>
              </w:rPr>
              <w:t>European Digital Learning Network</w:t>
            </w:r>
          </w:p>
        </w:tc>
        <w:tc>
          <w:tcPr>
            <w:tcW w:w="3319" w:type="dxa"/>
            <w:vAlign w:val="center"/>
          </w:tcPr>
          <w:p w14:paraId="49EE2A57" w14:textId="77777777" w:rsidR="008B7AD2" w:rsidRDefault="00485472" w:rsidP="008B7AD2">
            <w:pPr>
              <w:rPr>
                <w:sz w:val="24"/>
                <w:szCs w:val="24"/>
              </w:rPr>
            </w:pPr>
            <w:r>
              <w:rPr>
                <w:noProof/>
              </w:rPr>
              <w:drawing>
                <wp:inline distT="0" distB="0" distL="0" distR="0" wp14:anchorId="2D92C9B1" wp14:editId="7D5AC170">
                  <wp:extent cx="1591200" cy="567569"/>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1200" cy="567569"/>
                          </a:xfrm>
                          <a:prstGeom prst="rect">
                            <a:avLst/>
                          </a:prstGeom>
                          <a:noFill/>
                          <a:ln>
                            <a:noFill/>
                          </a:ln>
                        </pic:spPr>
                      </pic:pic>
                    </a:graphicData>
                  </a:graphic>
                </wp:inline>
              </w:drawing>
            </w:r>
          </w:p>
          <w:p w14:paraId="26A1A5A4" w14:textId="1DBBD52F" w:rsidR="00485472" w:rsidRPr="008B7AD2" w:rsidRDefault="00485472" w:rsidP="008B7AD2">
            <w:pPr>
              <w:rPr>
                <w:sz w:val="24"/>
                <w:szCs w:val="24"/>
              </w:rPr>
            </w:pPr>
          </w:p>
        </w:tc>
      </w:tr>
      <w:tr w:rsidR="008B7AD2" w:rsidRPr="008B7AD2" w14:paraId="35675C18" w14:textId="77777777" w:rsidTr="008B7AD2">
        <w:trPr>
          <w:trHeight w:val="1123"/>
        </w:trPr>
        <w:tc>
          <w:tcPr>
            <w:tcW w:w="1319" w:type="dxa"/>
            <w:tcBorders>
              <w:right w:val="single" w:sz="4" w:space="0" w:color="auto"/>
            </w:tcBorders>
            <w:vAlign w:val="center"/>
          </w:tcPr>
          <w:p w14:paraId="4718C02C" w14:textId="76A5FDC4" w:rsidR="008B7AD2" w:rsidRPr="008B7AD2" w:rsidRDefault="008B7AD2" w:rsidP="008B7AD2">
            <w:pPr>
              <w:jc w:val="center"/>
              <w:rPr>
                <w:b/>
                <w:sz w:val="24"/>
                <w:szCs w:val="24"/>
              </w:rPr>
            </w:pPr>
            <w:r w:rsidRPr="008B7AD2">
              <w:rPr>
                <w:b/>
                <w:sz w:val="24"/>
                <w:szCs w:val="24"/>
              </w:rPr>
              <w:t>P7</w:t>
            </w:r>
          </w:p>
        </w:tc>
        <w:tc>
          <w:tcPr>
            <w:tcW w:w="657" w:type="dxa"/>
            <w:tcBorders>
              <w:left w:val="single" w:sz="4" w:space="0" w:color="auto"/>
              <w:right w:val="single" w:sz="4" w:space="0" w:color="auto"/>
            </w:tcBorders>
            <w:vAlign w:val="center"/>
          </w:tcPr>
          <w:p w14:paraId="1B912BAF" w14:textId="7423B577" w:rsidR="008B7AD2" w:rsidRPr="008B7AD2" w:rsidRDefault="008B7AD2" w:rsidP="008B7AD2">
            <w:pPr>
              <w:jc w:val="center"/>
              <w:rPr>
                <w:sz w:val="24"/>
                <w:szCs w:val="24"/>
              </w:rPr>
            </w:pPr>
            <w:r w:rsidRPr="008B7AD2">
              <w:rPr>
                <w:sz w:val="24"/>
                <w:szCs w:val="24"/>
              </w:rPr>
              <w:t>GR</w:t>
            </w:r>
          </w:p>
        </w:tc>
        <w:tc>
          <w:tcPr>
            <w:tcW w:w="3946" w:type="dxa"/>
            <w:tcBorders>
              <w:left w:val="single" w:sz="4" w:space="0" w:color="auto"/>
              <w:right w:val="single" w:sz="4" w:space="0" w:color="auto"/>
            </w:tcBorders>
            <w:vAlign w:val="center"/>
          </w:tcPr>
          <w:p w14:paraId="2B4587EE" w14:textId="49B31BAC" w:rsidR="008B7AD2" w:rsidRPr="008B7AD2" w:rsidRDefault="008B7AD2" w:rsidP="008B7AD2">
            <w:pPr>
              <w:jc w:val="center"/>
              <w:rPr>
                <w:sz w:val="24"/>
                <w:szCs w:val="24"/>
              </w:rPr>
            </w:pPr>
            <w:r w:rsidRPr="008B7AD2">
              <w:rPr>
                <w:sz w:val="24"/>
                <w:szCs w:val="24"/>
              </w:rPr>
              <w:t>AINTEK SYMVOULOI EPICHEIRISEON EFARMOGES YPSILIS TECHNOLOGIAS EKPAIDEFSI ANONYMI ETAIREIA</w:t>
            </w:r>
          </w:p>
        </w:tc>
        <w:tc>
          <w:tcPr>
            <w:tcW w:w="3319" w:type="dxa"/>
            <w:vAlign w:val="center"/>
          </w:tcPr>
          <w:p w14:paraId="257C8782" w14:textId="14BA9AC7" w:rsidR="008B7AD2" w:rsidRPr="008B7AD2" w:rsidRDefault="00FD3DA9" w:rsidP="008B7AD2">
            <w:pPr>
              <w:jc w:val="center"/>
              <w:rPr>
                <w:sz w:val="24"/>
                <w:szCs w:val="24"/>
              </w:rPr>
            </w:pPr>
            <w:r>
              <w:rPr>
                <w:noProof/>
              </w:rPr>
              <w:drawing>
                <wp:inline distT="0" distB="0" distL="0" distR="0" wp14:anchorId="6AD3B02A" wp14:editId="1CA8B948">
                  <wp:extent cx="1591200" cy="475589"/>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1200" cy="475589"/>
                          </a:xfrm>
                          <a:prstGeom prst="rect">
                            <a:avLst/>
                          </a:prstGeom>
                          <a:noFill/>
                          <a:ln>
                            <a:noFill/>
                          </a:ln>
                        </pic:spPr>
                      </pic:pic>
                    </a:graphicData>
                  </a:graphic>
                </wp:inline>
              </w:drawing>
            </w:r>
          </w:p>
        </w:tc>
      </w:tr>
      <w:tr w:rsidR="008B7AD2" w:rsidRPr="008B7AD2" w14:paraId="57FE86DA" w14:textId="77777777" w:rsidTr="008B7AD2">
        <w:trPr>
          <w:trHeight w:val="1701"/>
        </w:trPr>
        <w:tc>
          <w:tcPr>
            <w:tcW w:w="1319" w:type="dxa"/>
            <w:tcBorders>
              <w:right w:val="single" w:sz="4" w:space="0" w:color="auto"/>
            </w:tcBorders>
            <w:vAlign w:val="center"/>
          </w:tcPr>
          <w:p w14:paraId="5944E4B3" w14:textId="374AD70C" w:rsidR="008B7AD2" w:rsidRPr="008B7AD2" w:rsidRDefault="008B7AD2" w:rsidP="008B7AD2">
            <w:pPr>
              <w:jc w:val="center"/>
              <w:rPr>
                <w:b/>
                <w:sz w:val="24"/>
                <w:szCs w:val="24"/>
              </w:rPr>
            </w:pPr>
            <w:r w:rsidRPr="008B7AD2">
              <w:rPr>
                <w:b/>
                <w:sz w:val="24"/>
                <w:szCs w:val="24"/>
              </w:rPr>
              <w:t>P8</w:t>
            </w:r>
          </w:p>
        </w:tc>
        <w:tc>
          <w:tcPr>
            <w:tcW w:w="657" w:type="dxa"/>
            <w:tcBorders>
              <w:left w:val="single" w:sz="4" w:space="0" w:color="auto"/>
              <w:right w:val="single" w:sz="4" w:space="0" w:color="auto"/>
            </w:tcBorders>
            <w:vAlign w:val="center"/>
          </w:tcPr>
          <w:p w14:paraId="43069B04" w14:textId="21006D6B" w:rsidR="008B7AD2" w:rsidRPr="008B7AD2" w:rsidRDefault="008B7AD2" w:rsidP="008B7AD2">
            <w:pPr>
              <w:jc w:val="center"/>
              <w:rPr>
                <w:sz w:val="24"/>
                <w:szCs w:val="24"/>
              </w:rPr>
            </w:pPr>
            <w:r w:rsidRPr="008B7AD2">
              <w:rPr>
                <w:sz w:val="24"/>
                <w:szCs w:val="24"/>
              </w:rPr>
              <w:t>ES</w:t>
            </w:r>
          </w:p>
        </w:tc>
        <w:tc>
          <w:tcPr>
            <w:tcW w:w="3946" w:type="dxa"/>
            <w:tcBorders>
              <w:left w:val="single" w:sz="4" w:space="0" w:color="auto"/>
              <w:right w:val="single" w:sz="4" w:space="0" w:color="auto"/>
            </w:tcBorders>
            <w:vAlign w:val="center"/>
          </w:tcPr>
          <w:p w14:paraId="6F75C92F" w14:textId="0A3C3A4E" w:rsidR="008B7AD2" w:rsidRPr="008B7AD2" w:rsidRDefault="008B7AD2" w:rsidP="008B7AD2">
            <w:pPr>
              <w:jc w:val="center"/>
              <w:rPr>
                <w:sz w:val="24"/>
                <w:szCs w:val="24"/>
                <w:lang w:val="fr-FR"/>
              </w:rPr>
            </w:pPr>
            <w:r w:rsidRPr="008B7AD2">
              <w:rPr>
                <w:sz w:val="24"/>
                <w:szCs w:val="24"/>
                <w:lang w:val="fr-FR"/>
              </w:rPr>
              <w:t>Instituto Hispano Americano de la Palabra</w:t>
            </w:r>
          </w:p>
          <w:p w14:paraId="4004C693" w14:textId="77777777" w:rsidR="008B7AD2" w:rsidRPr="008B7AD2" w:rsidRDefault="008B7AD2" w:rsidP="008B7AD2">
            <w:pPr>
              <w:rPr>
                <w:sz w:val="24"/>
                <w:szCs w:val="24"/>
                <w:lang w:val="fr-FR"/>
              </w:rPr>
            </w:pPr>
          </w:p>
        </w:tc>
        <w:tc>
          <w:tcPr>
            <w:tcW w:w="3319" w:type="dxa"/>
            <w:vAlign w:val="center"/>
          </w:tcPr>
          <w:p w14:paraId="14B3FD06" w14:textId="05330AED" w:rsidR="008B7AD2" w:rsidRPr="008B7AD2" w:rsidRDefault="00983900" w:rsidP="008B7AD2">
            <w:pPr>
              <w:jc w:val="center"/>
              <w:rPr>
                <w:sz w:val="24"/>
                <w:szCs w:val="24"/>
              </w:rPr>
            </w:pPr>
            <w:r>
              <w:rPr>
                <w:noProof/>
              </w:rPr>
              <w:drawing>
                <wp:inline distT="0" distB="0" distL="0" distR="0" wp14:anchorId="637FB6CD" wp14:editId="3D46CD3F">
                  <wp:extent cx="1869729" cy="59614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5728" cy="617188"/>
                          </a:xfrm>
                          <a:prstGeom prst="rect">
                            <a:avLst/>
                          </a:prstGeom>
                          <a:noFill/>
                          <a:ln>
                            <a:noFill/>
                          </a:ln>
                        </pic:spPr>
                      </pic:pic>
                    </a:graphicData>
                  </a:graphic>
                </wp:inline>
              </w:drawing>
            </w:r>
          </w:p>
        </w:tc>
      </w:tr>
    </w:tbl>
    <w:p w14:paraId="75F32493" w14:textId="77777777" w:rsidR="00721342" w:rsidRPr="00721342" w:rsidRDefault="00721342" w:rsidP="00721342"/>
    <w:p w14:paraId="230C9EF0" w14:textId="77777777" w:rsidR="00721342" w:rsidRPr="00721342" w:rsidRDefault="00721342" w:rsidP="00721342"/>
    <w:p w14:paraId="6EDFE16F" w14:textId="77777777" w:rsidR="00721342" w:rsidRPr="00721342" w:rsidRDefault="00721342" w:rsidP="00721342"/>
    <w:sdt>
      <w:sdtPr>
        <w:rPr>
          <w:rFonts w:asciiTheme="minorHAnsi" w:eastAsiaTheme="minorHAnsi" w:hAnsiTheme="minorHAnsi" w:cstheme="minorBidi"/>
          <w:color w:val="auto"/>
          <w:sz w:val="22"/>
          <w:szCs w:val="22"/>
          <w:lang w:val="pl-PL" w:eastAsia="en-US"/>
        </w:rPr>
        <w:id w:val="-283418906"/>
        <w:docPartObj>
          <w:docPartGallery w:val="Table of Contents"/>
          <w:docPartUnique/>
        </w:docPartObj>
      </w:sdtPr>
      <w:sdtEndPr>
        <w:rPr>
          <w:b/>
          <w:bCs/>
        </w:rPr>
      </w:sdtEndPr>
      <w:sdtContent>
        <w:p w14:paraId="278CF7B6" w14:textId="1CC7E222" w:rsidR="00EB0E4E" w:rsidRDefault="00EB0E4E" w:rsidP="00EB0E4E">
          <w:pPr>
            <w:pStyle w:val="TOCHeading"/>
            <w:spacing w:after="240"/>
          </w:pPr>
          <w:r>
            <w:rPr>
              <w:lang w:val="pl-PL"/>
            </w:rPr>
            <w:t>Table of contents</w:t>
          </w:r>
        </w:p>
        <w:p w14:paraId="12A744EF" w14:textId="63A5F5C0" w:rsidR="006E14C7" w:rsidRDefault="00EB0E4E">
          <w:pPr>
            <w:pStyle w:val="TOC1"/>
            <w:tabs>
              <w:tab w:val="right" w:leader="dot" w:pos="9062"/>
            </w:tabs>
            <w:rPr>
              <w:rFonts w:eastAsiaTheme="minorEastAsia"/>
              <w:noProof/>
              <w:lang w:eastAsia="en-GB"/>
            </w:rPr>
          </w:pPr>
          <w:r>
            <w:fldChar w:fldCharType="begin"/>
          </w:r>
          <w:r>
            <w:instrText xml:space="preserve"> TOC \o "1-3" \h \z \u </w:instrText>
          </w:r>
          <w:r>
            <w:fldChar w:fldCharType="separate"/>
          </w:r>
          <w:hyperlink w:anchor="_Toc126035697" w:history="1">
            <w:r w:rsidR="006E14C7" w:rsidRPr="00D14CED">
              <w:rPr>
                <w:rStyle w:val="Hyperlink"/>
                <w:noProof/>
              </w:rPr>
              <w:t>INTRODUCTION</w:t>
            </w:r>
            <w:r w:rsidR="006E14C7">
              <w:rPr>
                <w:noProof/>
                <w:webHidden/>
              </w:rPr>
              <w:tab/>
            </w:r>
            <w:r w:rsidR="006E14C7">
              <w:rPr>
                <w:noProof/>
                <w:webHidden/>
              </w:rPr>
              <w:fldChar w:fldCharType="begin"/>
            </w:r>
            <w:r w:rsidR="006E14C7">
              <w:rPr>
                <w:noProof/>
                <w:webHidden/>
              </w:rPr>
              <w:instrText xml:space="preserve"> PAGEREF _Toc126035697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360C2EEF" w14:textId="44C09267" w:rsidR="006E14C7" w:rsidRDefault="00000000">
          <w:pPr>
            <w:pStyle w:val="TOC1"/>
            <w:tabs>
              <w:tab w:val="right" w:leader="dot" w:pos="9062"/>
            </w:tabs>
            <w:rPr>
              <w:rFonts w:eastAsiaTheme="minorEastAsia"/>
              <w:noProof/>
              <w:lang w:eastAsia="en-GB"/>
            </w:rPr>
          </w:pPr>
          <w:hyperlink w:anchor="_Toc126035698" w:history="1">
            <w:r w:rsidR="006E14C7" w:rsidRPr="00D14CED">
              <w:rPr>
                <w:rStyle w:val="Hyperlink"/>
                <w:noProof/>
              </w:rPr>
              <w:t>EDUCATION OF DEAF STUDENTS</w:t>
            </w:r>
            <w:r w:rsidR="006E14C7">
              <w:rPr>
                <w:noProof/>
                <w:webHidden/>
              </w:rPr>
              <w:tab/>
            </w:r>
            <w:r w:rsidR="006E14C7">
              <w:rPr>
                <w:noProof/>
                <w:webHidden/>
              </w:rPr>
              <w:fldChar w:fldCharType="begin"/>
            </w:r>
            <w:r w:rsidR="006E14C7">
              <w:rPr>
                <w:noProof/>
                <w:webHidden/>
              </w:rPr>
              <w:instrText xml:space="preserve"> PAGEREF _Toc126035698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0C7163D0" w14:textId="0819CDDA" w:rsidR="006E14C7" w:rsidRDefault="00000000">
          <w:pPr>
            <w:pStyle w:val="TOC1"/>
            <w:tabs>
              <w:tab w:val="right" w:leader="dot" w:pos="9062"/>
            </w:tabs>
            <w:rPr>
              <w:rFonts w:eastAsiaTheme="minorEastAsia"/>
              <w:noProof/>
              <w:lang w:eastAsia="en-GB"/>
            </w:rPr>
          </w:pPr>
          <w:hyperlink w:anchor="_Toc126035699" w:history="1">
            <w:r w:rsidR="006E14C7" w:rsidRPr="00D14CED">
              <w:rPr>
                <w:rStyle w:val="Hyperlink"/>
                <w:noProof/>
              </w:rPr>
              <w:t>THE SITUATION OF DEAF PEOPLE IN THE LABOUR MARKET</w:t>
            </w:r>
            <w:r w:rsidR="006E14C7">
              <w:rPr>
                <w:noProof/>
                <w:webHidden/>
              </w:rPr>
              <w:tab/>
            </w:r>
            <w:r w:rsidR="006E14C7">
              <w:rPr>
                <w:noProof/>
                <w:webHidden/>
              </w:rPr>
              <w:fldChar w:fldCharType="begin"/>
            </w:r>
            <w:r w:rsidR="006E14C7">
              <w:rPr>
                <w:noProof/>
                <w:webHidden/>
              </w:rPr>
              <w:instrText xml:space="preserve"> PAGEREF _Toc126035699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750EE5FF" w14:textId="530CD7EB" w:rsidR="006E14C7" w:rsidRDefault="00000000">
          <w:pPr>
            <w:pStyle w:val="TOC1"/>
            <w:tabs>
              <w:tab w:val="right" w:leader="dot" w:pos="9062"/>
            </w:tabs>
            <w:rPr>
              <w:rFonts w:eastAsiaTheme="minorEastAsia"/>
              <w:noProof/>
              <w:lang w:eastAsia="en-GB"/>
            </w:rPr>
          </w:pPr>
          <w:hyperlink w:anchor="_Toc126035700" w:history="1">
            <w:r w:rsidR="006E14C7" w:rsidRPr="00D14CED">
              <w:rPr>
                <w:rStyle w:val="Hyperlink"/>
                <w:noProof/>
              </w:rPr>
              <w:t>STATE OF ART IN THE FIELD OF DIGITALIZATION IN EDUCATION</w:t>
            </w:r>
            <w:r w:rsidR="006E14C7">
              <w:rPr>
                <w:noProof/>
                <w:webHidden/>
              </w:rPr>
              <w:tab/>
            </w:r>
            <w:r w:rsidR="006E14C7">
              <w:rPr>
                <w:noProof/>
                <w:webHidden/>
              </w:rPr>
              <w:fldChar w:fldCharType="begin"/>
            </w:r>
            <w:r w:rsidR="006E14C7">
              <w:rPr>
                <w:noProof/>
                <w:webHidden/>
              </w:rPr>
              <w:instrText xml:space="preserve"> PAGEREF _Toc126035700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579A53C2" w14:textId="4DC382BE" w:rsidR="006E14C7" w:rsidRDefault="00000000">
          <w:pPr>
            <w:pStyle w:val="TOC1"/>
            <w:tabs>
              <w:tab w:val="right" w:leader="dot" w:pos="9062"/>
            </w:tabs>
            <w:rPr>
              <w:rFonts w:eastAsiaTheme="minorEastAsia"/>
              <w:noProof/>
              <w:lang w:eastAsia="en-GB"/>
            </w:rPr>
          </w:pPr>
          <w:hyperlink w:anchor="_Toc126035701" w:history="1">
            <w:r w:rsidR="006E14C7" w:rsidRPr="00D14CED">
              <w:rPr>
                <w:rStyle w:val="Hyperlink"/>
                <w:noProof/>
              </w:rPr>
              <w:t>CONCLUSION</w:t>
            </w:r>
            <w:r w:rsidR="006E14C7">
              <w:rPr>
                <w:noProof/>
                <w:webHidden/>
              </w:rPr>
              <w:tab/>
            </w:r>
            <w:r w:rsidR="006E14C7">
              <w:rPr>
                <w:noProof/>
                <w:webHidden/>
              </w:rPr>
              <w:fldChar w:fldCharType="begin"/>
            </w:r>
            <w:r w:rsidR="006E14C7">
              <w:rPr>
                <w:noProof/>
                <w:webHidden/>
              </w:rPr>
              <w:instrText xml:space="preserve"> PAGEREF _Toc126035701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568C1783" w14:textId="1F4A83B0" w:rsidR="006E14C7" w:rsidRDefault="00000000">
          <w:pPr>
            <w:pStyle w:val="TOC1"/>
            <w:tabs>
              <w:tab w:val="right" w:leader="dot" w:pos="9062"/>
            </w:tabs>
            <w:rPr>
              <w:rFonts w:eastAsiaTheme="minorEastAsia"/>
              <w:noProof/>
              <w:lang w:eastAsia="en-GB"/>
            </w:rPr>
          </w:pPr>
          <w:hyperlink w:anchor="_Toc126035702" w:history="1">
            <w:r w:rsidR="006E14C7" w:rsidRPr="00D14CED">
              <w:rPr>
                <w:rStyle w:val="Hyperlink"/>
                <w:noProof/>
                <w:lang w:val="en-US"/>
              </w:rPr>
              <w:t>REFERENCES</w:t>
            </w:r>
            <w:r w:rsidR="006E14C7">
              <w:rPr>
                <w:noProof/>
                <w:webHidden/>
              </w:rPr>
              <w:tab/>
            </w:r>
            <w:r w:rsidR="006E14C7">
              <w:rPr>
                <w:noProof/>
                <w:webHidden/>
              </w:rPr>
              <w:fldChar w:fldCharType="begin"/>
            </w:r>
            <w:r w:rsidR="006E14C7">
              <w:rPr>
                <w:noProof/>
                <w:webHidden/>
              </w:rPr>
              <w:instrText xml:space="preserve"> PAGEREF _Toc126035702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6607B797" w14:textId="26D34914" w:rsidR="00EB0E4E" w:rsidRDefault="00EB0E4E">
          <w:r>
            <w:rPr>
              <w:b/>
              <w:bCs/>
              <w:lang w:val="pl-PL"/>
            </w:rPr>
            <w:fldChar w:fldCharType="end"/>
          </w:r>
        </w:p>
      </w:sdtContent>
    </w:sdt>
    <w:p w14:paraId="0D5D57D4" w14:textId="77777777" w:rsidR="00721342" w:rsidRPr="00721342" w:rsidRDefault="00721342" w:rsidP="00721342"/>
    <w:p w14:paraId="67BD965C" w14:textId="77777777" w:rsidR="00721342" w:rsidRPr="00721342" w:rsidRDefault="00721342" w:rsidP="00721342"/>
    <w:p w14:paraId="436875A2" w14:textId="77777777" w:rsidR="00721342" w:rsidRPr="00721342" w:rsidRDefault="00721342" w:rsidP="00721342"/>
    <w:p w14:paraId="50EB536C" w14:textId="1370C799" w:rsidR="00721342" w:rsidRDefault="00721342" w:rsidP="00721342"/>
    <w:p w14:paraId="68A602C2" w14:textId="43C4C5EF" w:rsidR="00EB0E4E" w:rsidRDefault="00EB0E4E" w:rsidP="00721342"/>
    <w:p w14:paraId="6EEA4C85" w14:textId="2D867D55" w:rsidR="00EB0E4E" w:rsidRDefault="00EB0E4E" w:rsidP="00721342"/>
    <w:p w14:paraId="1B82F8D4" w14:textId="0A90936B" w:rsidR="00EB0E4E" w:rsidRDefault="00EB0E4E" w:rsidP="00721342"/>
    <w:p w14:paraId="67741E66" w14:textId="6CBF2789" w:rsidR="00EB0E4E" w:rsidRDefault="00EB0E4E" w:rsidP="00721342"/>
    <w:p w14:paraId="7C5CB5F7" w14:textId="0BBDC709" w:rsidR="00EB0E4E" w:rsidRDefault="00EB0E4E" w:rsidP="00721342"/>
    <w:p w14:paraId="0A8952F4" w14:textId="51401456" w:rsidR="00EB0E4E" w:rsidRDefault="00EB0E4E" w:rsidP="00721342"/>
    <w:p w14:paraId="2258FBD7" w14:textId="4AC21D5A" w:rsidR="00EB0E4E" w:rsidRDefault="00EB0E4E" w:rsidP="00721342"/>
    <w:p w14:paraId="13ECF305" w14:textId="0433BAD2" w:rsidR="00EB0E4E" w:rsidRDefault="00EB0E4E" w:rsidP="00721342"/>
    <w:p w14:paraId="4F92C003" w14:textId="4BDD15FF" w:rsidR="00EB0E4E" w:rsidRDefault="00EB0E4E" w:rsidP="00721342"/>
    <w:p w14:paraId="7BA1A87B" w14:textId="03C97684" w:rsidR="00EB0E4E" w:rsidRDefault="00EB0E4E" w:rsidP="00721342"/>
    <w:p w14:paraId="62D454EE" w14:textId="06CB2A65" w:rsidR="00EB0E4E" w:rsidRDefault="00EB0E4E" w:rsidP="00721342"/>
    <w:p w14:paraId="3B2628CD" w14:textId="41F81E95" w:rsidR="00EB0E4E" w:rsidRDefault="00EB0E4E" w:rsidP="00721342"/>
    <w:p w14:paraId="66BA195C" w14:textId="0C6BD975" w:rsidR="00EB0E4E" w:rsidRDefault="00EB0E4E" w:rsidP="00721342"/>
    <w:p w14:paraId="20821AB9" w14:textId="3A47EE0B" w:rsidR="00EB0E4E" w:rsidRDefault="00EB0E4E" w:rsidP="00721342"/>
    <w:p w14:paraId="7483F6BB" w14:textId="059D62DE" w:rsidR="00EB0E4E" w:rsidRDefault="00EB0E4E" w:rsidP="00721342"/>
    <w:p w14:paraId="01E686BD" w14:textId="03CBBAF5" w:rsidR="00EB0E4E" w:rsidRDefault="00EB0E4E" w:rsidP="00721342"/>
    <w:p w14:paraId="39D0089F" w14:textId="7CE78E65" w:rsidR="00EB0E4E" w:rsidRDefault="00EB0E4E" w:rsidP="00721342"/>
    <w:p w14:paraId="5A4EB705" w14:textId="18D01E40" w:rsidR="00EB0E4E" w:rsidRDefault="00EB0E4E" w:rsidP="00721342"/>
    <w:p w14:paraId="03253227" w14:textId="4501BEC9" w:rsidR="00EB0E4E" w:rsidRDefault="00EB0E4E" w:rsidP="00721342"/>
    <w:p w14:paraId="3B5A5018" w14:textId="77777777" w:rsidR="00EB0E4E" w:rsidRPr="00721342" w:rsidRDefault="00EB0E4E" w:rsidP="00721342"/>
    <w:p w14:paraId="5948B177" w14:textId="5809193B" w:rsidR="00721342" w:rsidRDefault="008B7AD2" w:rsidP="00EB0E4E">
      <w:pPr>
        <w:pStyle w:val="Heading1"/>
      </w:pPr>
      <w:bookmarkStart w:id="0" w:name="_Toc126035697"/>
      <w:r>
        <w:t>INTRODUCTION</w:t>
      </w:r>
      <w:bookmarkEnd w:id="0"/>
    </w:p>
    <w:p w14:paraId="2571149D" w14:textId="22BB85AA" w:rsidR="00DE3A2F" w:rsidRPr="00DE3A2F" w:rsidRDefault="00DE3A2F" w:rsidP="00DE3A2F">
      <w:pPr>
        <w:jc w:val="both"/>
        <w:rPr>
          <w:rFonts w:cstheme="minorHAnsi"/>
        </w:rPr>
      </w:pPr>
      <w:r w:rsidRPr="00DE3A2F">
        <w:rPr>
          <w:rFonts w:cstheme="minorHAnsi"/>
        </w:rPr>
        <w:t>3D4DEAF</w:t>
      </w:r>
      <w:r>
        <w:rPr>
          <w:rFonts w:cstheme="minorHAnsi"/>
        </w:rPr>
        <w:t xml:space="preserve">: </w:t>
      </w:r>
      <w:r w:rsidRPr="00DE3A2F">
        <w:rPr>
          <w:rFonts w:cstheme="minorHAnsi"/>
        </w:rPr>
        <w:t xml:space="preserve">Promoting digital transformation and social innovation in VET for better access of deaf students to the labour market aims to promote social inclusion and improve the outreach to people with fewer opportunities focusing on people with deafness/hearing impairments aged 15-21. ‘Inclusion Europe’ in European Commission (EC), states that due to Covid-19, people with disabilities have been tremendously affected by numerous challenges, including discrimination in the </w:t>
      </w:r>
      <w:r w:rsidR="007B19FB">
        <w:rPr>
          <w:rFonts w:cstheme="minorHAnsi"/>
        </w:rPr>
        <w:t>labor</w:t>
      </w:r>
      <w:r w:rsidRPr="00DE3A2F">
        <w:rPr>
          <w:rFonts w:cstheme="minorHAnsi"/>
        </w:rPr>
        <w:t xml:space="preserve"> market. The project is aligned with the European Union Charter of Fundamental Rights and ‘The right of persons with disabilities to benefit from measures designed to ensure their independence, social and occupational integration and participation in community life. The main objective is to develop a Training programme for VET teachers and school students with deafness or hearing impairments to upgrade their 3D, coding, digital</w:t>
      </w:r>
      <w:r w:rsidR="007B19FB">
        <w:rPr>
          <w:rFonts w:cstheme="minorHAnsi"/>
        </w:rPr>
        <w:t>,</w:t>
      </w:r>
      <w:r w:rsidRPr="00DE3A2F">
        <w:rPr>
          <w:rFonts w:cstheme="minorHAnsi"/>
        </w:rPr>
        <w:t xml:space="preserve"> and social entrepreneurial skills to meet the needs of the digital </w:t>
      </w:r>
      <w:r w:rsidR="007B19FB">
        <w:rPr>
          <w:rFonts w:cstheme="minorHAnsi"/>
        </w:rPr>
        <w:t>labor</w:t>
      </w:r>
      <w:r w:rsidRPr="00DE3A2F">
        <w:rPr>
          <w:rFonts w:cstheme="minorHAnsi"/>
        </w:rPr>
        <w:t xml:space="preserve"> market and foster equal opportunities.</w:t>
      </w:r>
    </w:p>
    <w:p w14:paraId="351E40D0" w14:textId="5406C4DF" w:rsidR="00EB0E4E" w:rsidRDefault="00DE3A2F" w:rsidP="00DE3A2F">
      <w:pPr>
        <w:rPr>
          <w:rFonts w:cstheme="minorHAnsi"/>
        </w:rPr>
      </w:pPr>
      <w:r>
        <w:rPr>
          <w:rFonts w:cstheme="minorHAnsi"/>
        </w:rPr>
        <w:t>The aim of this document is to describe the s</w:t>
      </w:r>
      <w:r w:rsidRPr="00DE3A2F">
        <w:rPr>
          <w:rFonts w:cstheme="minorHAnsi"/>
        </w:rPr>
        <w:t>tate of the art in the field of digitalization and</w:t>
      </w:r>
      <w:r>
        <w:rPr>
          <w:rFonts w:cstheme="minorHAnsi"/>
        </w:rPr>
        <w:t xml:space="preserve"> the situation of</w:t>
      </w:r>
      <w:r w:rsidRPr="00DE3A2F">
        <w:rPr>
          <w:rFonts w:cstheme="minorHAnsi"/>
        </w:rPr>
        <w:t xml:space="preserve"> deaf people</w:t>
      </w:r>
      <w:r>
        <w:rPr>
          <w:rFonts w:cstheme="minorHAnsi"/>
        </w:rPr>
        <w:t xml:space="preserve"> in education and in the </w:t>
      </w:r>
      <w:r w:rsidR="007B19FB">
        <w:rPr>
          <w:rFonts w:cstheme="minorHAnsi"/>
        </w:rPr>
        <w:t>labor</w:t>
      </w:r>
      <w:r>
        <w:rPr>
          <w:rFonts w:cstheme="minorHAnsi"/>
        </w:rPr>
        <w:t xml:space="preserve"> market. </w:t>
      </w:r>
    </w:p>
    <w:p w14:paraId="46DC382D" w14:textId="37BD096B" w:rsidR="00EB0E4E" w:rsidRDefault="00EB0E4E" w:rsidP="00A04BE9">
      <w:pPr>
        <w:pStyle w:val="Heading1"/>
        <w:spacing w:after="240"/>
      </w:pPr>
      <w:bookmarkStart w:id="1" w:name="_Toc126035698"/>
      <w:r w:rsidRPr="00EB0E4E">
        <w:t xml:space="preserve">EDUCATION OF </w:t>
      </w:r>
      <w:r w:rsidR="00146CEE">
        <w:t xml:space="preserve">DEAF </w:t>
      </w:r>
      <w:r>
        <w:t>STUDENTS</w:t>
      </w:r>
      <w:bookmarkEnd w:id="1"/>
      <w:r>
        <w:t xml:space="preserve"> </w:t>
      </w:r>
    </w:p>
    <w:p w14:paraId="3A584B14" w14:textId="75342663" w:rsidR="0003452A" w:rsidRPr="007B19FB" w:rsidRDefault="0003452A" w:rsidP="00A04BE9">
      <w:pPr>
        <w:jc w:val="both"/>
        <w:rPr>
          <w:rFonts w:cstheme="minorHAnsi"/>
        </w:rPr>
      </w:pPr>
      <w:r w:rsidRPr="0003452A">
        <w:rPr>
          <w:rFonts w:cstheme="minorHAnsi"/>
        </w:rPr>
        <w:t>There are no specific data for the number of deaf people in Cyprus, however</w:t>
      </w:r>
      <w:r>
        <w:rPr>
          <w:rFonts w:cstheme="minorHAnsi"/>
        </w:rPr>
        <w:t>,</w:t>
      </w:r>
      <w:r w:rsidRPr="0003452A">
        <w:rPr>
          <w:rFonts w:cstheme="minorHAnsi"/>
        </w:rPr>
        <w:t xml:space="preserve"> </w:t>
      </w:r>
      <w:r>
        <w:rPr>
          <w:rFonts w:cstheme="minorHAnsi"/>
        </w:rPr>
        <w:t xml:space="preserve">the estimated number of deaf people or hearing loss is around 3,000 which is estimated </w:t>
      </w:r>
      <w:r w:rsidR="007B19FB">
        <w:rPr>
          <w:rFonts w:cstheme="minorHAnsi"/>
        </w:rPr>
        <w:t>by</w:t>
      </w:r>
      <w:r>
        <w:rPr>
          <w:rFonts w:cstheme="minorHAnsi"/>
        </w:rPr>
        <w:t xml:space="preserve"> the deaf community and deaf school of Cyprus. </w:t>
      </w:r>
    </w:p>
    <w:p w14:paraId="79ADD991" w14:textId="62323163" w:rsidR="0003452A" w:rsidRDefault="0003452A" w:rsidP="00A04BE9">
      <w:pPr>
        <w:jc w:val="both"/>
        <w:rPr>
          <w:rFonts w:cstheme="minorHAnsi"/>
        </w:rPr>
      </w:pPr>
      <w:r>
        <w:rPr>
          <w:rFonts w:cstheme="minorHAnsi"/>
        </w:rPr>
        <w:t xml:space="preserve">In education, approximately there are 200 deaf or </w:t>
      </w:r>
      <w:r w:rsidR="007B19FB">
        <w:rPr>
          <w:rFonts w:cstheme="minorHAnsi"/>
        </w:rPr>
        <w:t>hearing</w:t>
      </w:r>
      <w:r>
        <w:rPr>
          <w:rFonts w:cstheme="minorHAnsi"/>
        </w:rPr>
        <w:t xml:space="preserve"> loss children which studied in primary and secondary education. A smaller number of children are studying in the deaf school of Cyprus which is located in Nicosia. </w:t>
      </w:r>
    </w:p>
    <w:p w14:paraId="6E687A70" w14:textId="5F3A31E5" w:rsidR="0003452A" w:rsidRDefault="00CF74CA" w:rsidP="00AD058F">
      <w:pPr>
        <w:jc w:val="both"/>
        <w:rPr>
          <w:rFonts w:cstheme="minorHAnsi"/>
        </w:rPr>
      </w:pPr>
      <w:r w:rsidRPr="00CF74CA">
        <w:rPr>
          <w:rFonts w:cstheme="minorHAnsi"/>
        </w:rPr>
        <w:t>The education system in Cyprus is based on a centralized educational model</w:t>
      </w:r>
      <w:r w:rsidR="007B19FB">
        <w:rPr>
          <w:rFonts w:cstheme="minorHAnsi"/>
        </w:rPr>
        <w:t xml:space="preserve"> </w:t>
      </w:r>
      <w:r w:rsidR="007B19FB" w:rsidRPr="00CF74CA">
        <w:rPr>
          <w:rFonts w:cstheme="minorHAnsi"/>
        </w:rPr>
        <w:t>managed by MoEC</w:t>
      </w:r>
      <w:r w:rsidRPr="00CF74CA">
        <w:rPr>
          <w:rFonts w:cstheme="minorHAnsi"/>
        </w:rPr>
        <w:t xml:space="preserve">. This implies that the financial resources, school curricula and additional programs as well as the teaching staff (appointments, promotions etc.) are controlled by the state. Formal school education is organized into three levels:  elementary (ages 6-12), gymnasium (ages 12-15) and lyceum (ages 15-18). Primary and secondary in public education </w:t>
      </w:r>
      <w:r>
        <w:rPr>
          <w:rFonts w:cstheme="minorHAnsi"/>
        </w:rPr>
        <w:t>are</w:t>
      </w:r>
      <w:r w:rsidRPr="00CF74CA">
        <w:rPr>
          <w:rFonts w:cstheme="minorHAnsi"/>
        </w:rPr>
        <w:t xml:space="preserve"> free of charge for the students and school education is compulsory up to the age of 15.</w:t>
      </w:r>
    </w:p>
    <w:p w14:paraId="71B5AE83" w14:textId="518FEB42" w:rsidR="00CF74CA" w:rsidRPr="00CF74CA" w:rsidRDefault="00CF74CA" w:rsidP="00CF74CA">
      <w:pPr>
        <w:jc w:val="both"/>
        <w:rPr>
          <w:rFonts w:cstheme="minorHAnsi"/>
        </w:rPr>
      </w:pPr>
      <w:r w:rsidRPr="00CF74CA">
        <w:rPr>
          <w:rFonts w:cstheme="minorHAnsi"/>
        </w:rPr>
        <w:t xml:space="preserve">Cyprus has introduced various measures addressing the rights of people with disabilities in recent years. Most of the laws which have been developed refer to the employability of people with disabilities aiming to prevent disability discrimination at work in the country. More specifically, the Republic of Cyprus has been aligned with the following laws to ensure </w:t>
      </w:r>
      <w:r w:rsidR="007B19FB">
        <w:rPr>
          <w:rFonts w:cstheme="minorHAnsi"/>
        </w:rPr>
        <w:t xml:space="preserve">the </w:t>
      </w:r>
      <w:r w:rsidRPr="00CF74CA">
        <w:rPr>
          <w:rFonts w:cstheme="minorHAnsi"/>
        </w:rPr>
        <w:t>social inclusion of people with disabilities:</w:t>
      </w:r>
    </w:p>
    <w:p w14:paraId="61F4CD27" w14:textId="77777777" w:rsidR="00CF74CA" w:rsidRPr="00CF74CA" w:rsidRDefault="00CF74CA" w:rsidP="00CF74CA">
      <w:pPr>
        <w:ind w:firstLine="720"/>
        <w:jc w:val="both"/>
        <w:rPr>
          <w:rFonts w:cstheme="minorHAnsi"/>
        </w:rPr>
      </w:pPr>
      <w:r w:rsidRPr="00CF74CA">
        <w:rPr>
          <w:rFonts w:cstheme="minorHAnsi"/>
        </w:rPr>
        <w:t>-</w:t>
      </w:r>
      <w:r w:rsidRPr="00CF74CA">
        <w:rPr>
          <w:rFonts w:cstheme="minorHAnsi"/>
        </w:rPr>
        <w:tab/>
        <w:t xml:space="preserve">Convention 159 of the International Labour organization (ILO) to secure professional rehabilitation and employment of disabled persons (Validated Law 42/1987); </w:t>
      </w:r>
    </w:p>
    <w:p w14:paraId="076F2ADC" w14:textId="77777777" w:rsidR="00CF74CA" w:rsidRPr="00CF74CA" w:rsidRDefault="00CF74CA" w:rsidP="00CF74CA">
      <w:pPr>
        <w:ind w:firstLine="720"/>
        <w:jc w:val="both"/>
        <w:rPr>
          <w:rFonts w:cstheme="minorHAnsi"/>
        </w:rPr>
      </w:pPr>
      <w:r w:rsidRPr="00CF74CA">
        <w:rPr>
          <w:rFonts w:cstheme="minorHAnsi"/>
        </w:rPr>
        <w:t>-</w:t>
      </w:r>
      <w:r w:rsidRPr="00CF74CA">
        <w:rPr>
          <w:rFonts w:cstheme="minorHAnsi"/>
        </w:rPr>
        <w:tab/>
        <w:t>1989 Persons with Intellectual Disabilities Law (Law 117/1989) which secures the rights of persons with intellectual disabilities for a dignified living, social security, social welfare and opportunities for personal development;</w:t>
      </w:r>
    </w:p>
    <w:p w14:paraId="4ECBFDA8" w14:textId="77777777" w:rsidR="00CF74CA" w:rsidRPr="00CF74CA" w:rsidRDefault="00CF74CA" w:rsidP="00CF74CA">
      <w:pPr>
        <w:ind w:firstLine="720"/>
        <w:jc w:val="both"/>
        <w:rPr>
          <w:rFonts w:cstheme="minorHAnsi"/>
        </w:rPr>
      </w:pPr>
      <w:r w:rsidRPr="00CF74CA">
        <w:rPr>
          <w:rFonts w:cstheme="minorHAnsi"/>
        </w:rPr>
        <w:t>-</w:t>
      </w:r>
      <w:r w:rsidRPr="00CF74CA">
        <w:rPr>
          <w:rFonts w:cstheme="minorHAnsi"/>
        </w:rPr>
        <w:tab/>
        <w:t xml:space="preserve">1996 Revised European Social Map (Ratified Law); </w:t>
      </w:r>
    </w:p>
    <w:p w14:paraId="02CEF7AB" w14:textId="77777777" w:rsidR="00CF74CA" w:rsidRPr="00CF74CA" w:rsidRDefault="00CF74CA" w:rsidP="00CF74CA">
      <w:pPr>
        <w:ind w:firstLine="720"/>
        <w:jc w:val="both"/>
        <w:rPr>
          <w:rFonts w:cstheme="minorHAnsi"/>
        </w:rPr>
      </w:pPr>
      <w:r w:rsidRPr="00CF74CA">
        <w:rPr>
          <w:rFonts w:cstheme="minorHAnsi"/>
        </w:rPr>
        <w:lastRenderedPageBreak/>
        <w:t>-</w:t>
      </w:r>
      <w:r w:rsidRPr="00CF74CA">
        <w:rPr>
          <w:rFonts w:cstheme="minorHAnsi"/>
        </w:rPr>
        <w:tab/>
        <w:t>2000 Law (Law 17(III)/2000) and 2011 Amended Law (Law 17(III)/2011) which emphasizes professional rehabilitation of persons with disabilities;</w:t>
      </w:r>
    </w:p>
    <w:p w14:paraId="5900023C" w14:textId="4E4AFC5E" w:rsidR="00CF74CA" w:rsidRPr="00CF74CA" w:rsidRDefault="00CF74CA" w:rsidP="00CF74CA">
      <w:pPr>
        <w:ind w:firstLine="720"/>
        <w:jc w:val="both"/>
        <w:rPr>
          <w:rFonts w:cstheme="minorHAnsi"/>
        </w:rPr>
      </w:pPr>
      <w:r w:rsidRPr="00CF74CA">
        <w:rPr>
          <w:rFonts w:cstheme="minorHAnsi"/>
        </w:rPr>
        <w:t>-</w:t>
      </w:r>
      <w:r w:rsidRPr="00CF74CA">
        <w:rPr>
          <w:rFonts w:cstheme="minorHAnsi"/>
        </w:rPr>
        <w:tab/>
        <w:t xml:space="preserve">2000 Persons’ with Disabilities Law (Law 127(I)/2000), </w:t>
      </w:r>
      <w:r w:rsidR="007B19FB">
        <w:rPr>
          <w:rFonts w:cstheme="minorHAnsi"/>
        </w:rPr>
        <w:t>the</w:t>
      </w:r>
      <w:r w:rsidRPr="00CF74CA">
        <w:rPr>
          <w:rFonts w:cstheme="minorHAnsi"/>
        </w:rPr>
        <w:t xml:space="preserve"> following 2004 Amended Law (Law 57(I)/2004) and the 2007 Law (Law 72(I)/2007) refer to the securing of the rights of persons with disabilities; </w:t>
      </w:r>
    </w:p>
    <w:p w14:paraId="70628A98" w14:textId="77777777" w:rsidR="00CF74CA" w:rsidRPr="00CF74CA" w:rsidRDefault="00CF74CA" w:rsidP="00CF74CA">
      <w:pPr>
        <w:ind w:firstLine="720"/>
        <w:jc w:val="both"/>
        <w:rPr>
          <w:rFonts w:cstheme="minorHAnsi"/>
        </w:rPr>
      </w:pPr>
      <w:r w:rsidRPr="00CF74CA">
        <w:rPr>
          <w:rFonts w:cstheme="minorHAnsi"/>
        </w:rPr>
        <w:t>-</w:t>
      </w:r>
      <w:r w:rsidRPr="00CF74CA">
        <w:rPr>
          <w:rFonts w:cstheme="minorHAnsi"/>
        </w:rPr>
        <w:tab/>
        <w:t xml:space="preserve">Law 146(I)/2009 promotes employment opportunities for persons with disabilities; </w:t>
      </w:r>
    </w:p>
    <w:p w14:paraId="0F6BCF0D" w14:textId="2F4D3696" w:rsidR="00CF74CA" w:rsidRPr="00CF74CA" w:rsidRDefault="00CF74CA" w:rsidP="00CF74CA">
      <w:pPr>
        <w:ind w:firstLine="720"/>
        <w:jc w:val="both"/>
        <w:rPr>
          <w:rFonts w:cstheme="minorHAnsi"/>
        </w:rPr>
      </w:pPr>
      <w:r w:rsidRPr="00CF74CA">
        <w:rPr>
          <w:rFonts w:cstheme="minorHAnsi"/>
        </w:rPr>
        <w:t>-</w:t>
      </w:r>
      <w:r w:rsidRPr="00CF74CA">
        <w:rPr>
          <w:rFonts w:cstheme="minorHAnsi"/>
        </w:rPr>
        <w:tab/>
        <w:t xml:space="preserve">European Directive, Law 118 (I) / 2010, which introduced Article 30 states that the providers of </w:t>
      </w:r>
      <w:r w:rsidR="007B19FB" w:rsidRPr="00CF74CA">
        <w:rPr>
          <w:rFonts w:cstheme="minorHAnsi"/>
        </w:rPr>
        <w:t>audio-visual</w:t>
      </w:r>
      <w:r w:rsidRPr="00CF74CA">
        <w:rPr>
          <w:rFonts w:cstheme="minorHAnsi"/>
        </w:rPr>
        <w:t xml:space="preserve"> media services are subject to the jurisdiction of the Republic shall ensure that their services are gradually accessible to people with visual or auditory disabilities;</w:t>
      </w:r>
    </w:p>
    <w:p w14:paraId="35F2D381" w14:textId="77777777" w:rsidR="00CF74CA" w:rsidRPr="00CF74CA" w:rsidRDefault="00CF74CA" w:rsidP="00CF74CA">
      <w:pPr>
        <w:ind w:firstLine="720"/>
        <w:jc w:val="both"/>
        <w:rPr>
          <w:rFonts w:cstheme="minorHAnsi"/>
        </w:rPr>
      </w:pPr>
      <w:r w:rsidRPr="00CF74CA">
        <w:rPr>
          <w:rFonts w:cstheme="minorHAnsi"/>
        </w:rPr>
        <w:t>-</w:t>
      </w:r>
      <w:r w:rsidRPr="00CF74CA">
        <w:rPr>
          <w:rFonts w:cstheme="minorHAnsi"/>
        </w:rPr>
        <w:tab/>
        <w:t xml:space="preserve">Education and Training of Children with Special Needs Law 1999 (113(I)/1999); </w:t>
      </w:r>
    </w:p>
    <w:p w14:paraId="3FA8D507" w14:textId="77777777" w:rsidR="00CF74CA" w:rsidRPr="00CF74CA" w:rsidRDefault="00CF74CA" w:rsidP="00CF74CA">
      <w:pPr>
        <w:ind w:firstLine="720"/>
        <w:jc w:val="both"/>
        <w:rPr>
          <w:rFonts w:cstheme="minorHAnsi"/>
        </w:rPr>
      </w:pPr>
      <w:r w:rsidRPr="00CF74CA">
        <w:rPr>
          <w:rFonts w:cstheme="minorHAnsi"/>
        </w:rPr>
        <w:t>-</w:t>
      </w:r>
      <w:r w:rsidRPr="00CF74CA">
        <w:rPr>
          <w:rFonts w:cstheme="minorHAnsi"/>
        </w:rPr>
        <w:tab/>
        <w:t>Mechanisms for Early Detection of Children with Special Needs (185(I)2001);</w:t>
      </w:r>
    </w:p>
    <w:p w14:paraId="4B014D3A" w14:textId="77777777" w:rsidR="00CF74CA" w:rsidRPr="00CF74CA" w:rsidRDefault="00CF74CA" w:rsidP="00CF74CA">
      <w:pPr>
        <w:ind w:firstLine="720"/>
        <w:jc w:val="both"/>
        <w:rPr>
          <w:rFonts w:cstheme="minorHAnsi"/>
        </w:rPr>
      </w:pPr>
      <w:r w:rsidRPr="00CF74CA">
        <w:rPr>
          <w:rFonts w:cstheme="minorHAnsi"/>
        </w:rPr>
        <w:t>-</w:t>
      </w:r>
      <w:r w:rsidRPr="00CF74CA">
        <w:rPr>
          <w:rFonts w:cstheme="minorHAnsi"/>
        </w:rPr>
        <w:tab/>
        <w:t>Regulations for Education and Training of Children with Special Needs (186 (I)2001).</w:t>
      </w:r>
    </w:p>
    <w:p w14:paraId="3259A2A3" w14:textId="77777777" w:rsidR="00CF74CA" w:rsidRDefault="00CF74CA" w:rsidP="00CF74CA">
      <w:pPr>
        <w:jc w:val="both"/>
        <w:rPr>
          <w:rFonts w:cstheme="minorHAnsi"/>
        </w:rPr>
      </w:pPr>
    </w:p>
    <w:p w14:paraId="0BFC8231" w14:textId="2EEA36D2" w:rsidR="00CF74CA" w:rsidRPr="00CF74CA" w:rsidRDefault="00CF74CA" w:rsidP="00CF74CA">
      <w:pPr>
        <w:jc w:val="both"/>
        <w:rPr>
          <w:rFonts w:cstheme="minorHAnsi"/>
        </w:rPr>
      </w:pPr>
      <w:r w:rsidRPr="00CF74CA">
        <w:rPr>
          <w:rFonts w:cstheme="minorHAnsi"/>
        </w:rPr>
        <w:t>As seen above, laws in Cyprus specifically accommodate special-needs children. Moreover, the rights illustrated in the abovementioned laws refer to ensuring personal care with supportive bodies, machines</w:t>
      </w:r>
      <w:r>
        <w:rPr>
          <w:rFonts w:cstheme="minorHAnsi"/>
        </w:rPr>
        <w:t>,</w:t>
      </w:r>
      <w:r w:rsidRPr="00CF74CA">
        <w:rPr>
          <w:rFonts w:cstheme="minorHAnsi"/>
        </w:rPr>
        <w:t xml:space="preserve"> and other means and services that can support daily living and work such as an interpreter or a support worker</w:t>
      </w:r>
      <w:r>
        <w:rPr>
          <w:rFonts w:cstheme="minorHAnsi"/>
        </w:rPr>
        <w:t>,</w:t>
      </w:r>
      <w:r w:rsidRPr="00CF74CA">
        <w:rPr>
          <w:rFonts w:cstheme="minorHAnsi"/>
        </w:rPr>
        <w:t xml:space="preserve"> or any other support that is deemed necessary, social and financial rehabilitation services, professional evaluation and orientation and professional training and employment in </w:t>
      </w:r>
      <w:r>
        <w:rPr>
          <w:rFonts w:cstheme="minorHAnsi"/>
        </w:rPr>
        <w:t xml:space="preserve">the </w:t>
      </w:r>
      <w:r w:rsidRPr="00CF74CA">
        <w:rPr>
          <w:rFonts w:cstheme="minorHAnsi"/>
        </w:rPr>
        <w:t xml:space="preserve">open labor market. </w:t>
      </w:r>
    </w:p>
    <w:p w14:paraId="55F5AF5A" w14:textId="104F25AE" w:rsidR="00CF74CA" w:rsidRDefault="00CF74CA" w:rsidP="00CF74CA">
      <w:pPr>
        <w:ind w:firstLine="720"/>
        <w:jc w:val="both"/>
        <w:rPr>
          <w:rFonts w:cstheme="minorHAnsi"/>
        </w:rPr>
      </w:pPr>
      <w:r w:rsidRPr="00CF74CA">
        <w:rPr>
          <w:rFonts w:cstheme="minorHAnsi"/>
        </w:rPr>
        <w:t xml:space="preserve">A fundamental policy of </w:t>
      </w:r>
      <w:r>
        <w:rPr>
          <w:rFonts w:cstheme="minorHAnsi"/>
        </w:rPr>
        <w:t xml:space="preserve">the </w:t>
      </w:r>
      <w:r w:rsidRPr="00CF74CA">
        <w:rPr>
          <w:rFonts w:cstheme="minorHAnsi"/>
        </w:rPr>
        <w:t>Cyprus government is to support and encourage the integration of children with special needs into the general educational system providing them the chance to develop and learn with children without special needs. For those children whose special needs are more acute, additional educational help is provided through support teachers to help with their integration into the normal educational system</w:t>
      </w:r>
    </w:p>
    <w:p w14:paraId="419A4806" w14:textId="77777777" w:rsidR="00C203E3" w:rsidRDefault="00C203E3" w:rsidP="00261A75">
      <w:pPr>
        <w:jc w:val="both"/>
      </w:pPr>
    </w:p>
    <w:p w14:paraId="5804B698" w14:textId="394906E5" w:rsidR="00CF74CA" w:rsidRDefault="00CF74CA" w:rsidP="00261A75">
      <w:pPr>
        <w:jc w:val="both"/>
      </w:pPr>
      <w:r>
        <w:t xml:space="preserve">There are no specific data for the teachers who teach deaf or hearing loss students, however, in primary and secondary education the teachers are authorized by the Ministry of Education and Culture and they learn Cypriot Sign Language so they can communicate with the children. Is not necessary to finish any specific study or course. </w:t>
      </w:r>
    </w:p>
    <w:p w14:paraId="2440AFBB" w14:textId="20869D80" w:rsidR="00181C64" w:rsidRDefault="00736547" w:rsidP="00261A75">
      <w:pPr>
        <w:jc w:val="both"/>
      </w:pPr>
      <w:r>
        <w:t xml:space="preserve">In addition to this, </w:t>
      </w:r>
      <w:r w:rsidR="00D0731C">
        <w:t>although currently there is no CPD course related to courses for teachers in this field, Cyprus Government carries out CPD courses</w:t>
      </w:r>
      <w:r w:rsidR="00FD4890">
        <w:t xml:space="preserve"> related to </w:t>
      </w:r>
      <w:r w:rsidR="004E0FBD">
        <w:t xml:space="preserve">different studies fields. </w:t>
      </w:r>
      <w:r w:rsidR="00FD4890">
        <w:t>On the other hand, Cyprus College, The Institute of Certified Public Accountants of Cyprus</w:t>
      </w:r>
      <w:r w:rsidR="00CF74CA">
        <w:t>,</w:t>
      </w:r>
      <w:r w:rsidR="00FD4890">
        <w:t xml:space="preserve"> or even the University of Central Lancashire offer CPD’s for anyone interested too.</w:t>
      </w:r>
    </w:p>
    <w:p w14:paraId="20197AC0" w14:textId="0C86EC1F" w:rsidR="00FD4890" w:rsidRDefault="00FD4890" w:rsidP="00261A75">
      <w:pPr>
        <w:jc w:val="both"/>
      </w:pPr>
    </w:p>
    <w:p w14:paraId="46915964" w14:textId="255A62BD" w:rsidR="00EB0E4E" w:rsidRDefault="00A04BE9" w:rsidP="0033045A">
      <w:pPr>
        <w:pStyle w:val="Heading1"/>
        <w:spacing w:after="240"/>
        <w:jc w:val="both"/>
      </w:pPr>
      <w:bookmarkStart w:id="2" w:name="_Toc126035699"/>
      <w:r>
        <w:t xml:space="preserve">THE SITUATION OF </w:t>
      </w:r>
      <w:r w:rsidR="00146CEE">
        <w:t xml:space="preserve">DEAF </w:t>
      </w:r>
      <w:r>
        <w:t xml:space="preserve">PEOPLE </w:t>
      </w:r>
      <w:r w:rsidR="0033045A">
        <w:t>IN</w:t>
      </w:r>
      <w:r>
        <w:t xml:space="preserve"> </w:t>
      </w:r>
      <w:r w:rsidR="0033045A">
        <w:t xml:space="preserve">THE </w:t>
      </w:r>
      <w:r>
        <w:t>LABO</w:t>
      </w:r>
      <w:r w:rsidR="006E14C7">
        <w:t>U</w:t>
      </w:r>
      <w:r>
        <w:t>R MARKET</w:t>
      </w:r>
      <w:bookmarkEnd w:id="2"/>
    </w:p>
    <w:p w14:paraId="27A41808" w14:textId="77777777" w:rsidR="005D00BC" w:rsidRDefault="005D00BC" w:rsidP="005D00BC">
      <w:pPr>
        <w:jc w:val="both"/>
      </w:pPr>
      <w:r>
        <w:t>One of the permanent claims of people with hearing loss in Cyprus is the right to work. While there are now many university graduates, prejudice against people with disabilities still exists, which is why the unemployment rate among people with hearing loss is huge.</w:t>
      </w:r>
    </w:p>
    <w:p w14:paraId="5D3AB6CF" w14:textId="77777777" w:rsidR="005D00BC" w:rsidRDefault="005D00BC" w:rsidP="005D00BC">
      <w:pPr>
        <w:jc w:val="both"/>
      </w:pPr>
      <w:r>
        <w:lastRenderedPageBreak/>
        <w:t>However, those who work in the public sector are treated the same as the rest of the staff. In the private sector, their working conditions depend on the Rules of each company.</w:t>
      </w:r>
    </w:p>
    <w:p w14:paraId="3083FD1D" w14:textId="77777777" w:rsidR="005D00BC" w:rsidRDefault="005D00BC" w:rsidP="005D00BC">
      <w:pPr>
        <w:jc w:val="both"/>
      </w:pPr>
      <w:r>
        <w:t>Unfortunately, lack of support and guidance prevents people with hearing loss from setting up their own businesses while those who have taken the risk have found it very difficult to survive.</w:t>
      </w:r>
    </w:p>
    <w:p w14:paraId="3053EF40" w14:textId="4157FED1" w:rsidR="0033045A" w:rsidRDefault="0033045A" w:rsidP="005D00BC">
      <w:pPr>
        <w:jc w:val="both"/>
        <w:rPr>
          <w:rFonts w:cstheme="minorHAnsi"/>
          <w:color w:val="2F5496" w:themeColor="accent1" w:themeShade="BF"/>
        </w:rPr>
      </w:pPr>
    </w:p>
    <w:p w14:paraId="20F96F03" w14:textId="77777777" w:rsidR="007B19FB" w:rsidRDefault="007B19FB" w:rsidP="007B19FB">
      <w:pPr>
        <w:jc w:val="both"/>
      </w:pPr>
      <w:r>
        <w:t>In Cyprus, there is quota legislation, where in announcements of positions in the public sector, 10% of the positions concern people with disabilities. In addition, the Department of Social Integration of Persons with Disabilities announces Financial Plans to private companies, for grants to hire persons with Disabilities. However, we are still in the early stages, so for now these plans are not yet widespread. However, the Legislation applies. The difficulty, however, is that the Legislation applies broadly to all disabilities, so people with hearing loss, who usually lag behind in language, will have to compete with people with other disabilities.</w:t>
      </w:r>
    </w:p>
    <w:p w14:paraId="3C6D9F44" w14:textId="7FBC48C2" w:rsidR="00C57B25" w:rsidRDefault="00C57B25">
      <w:r>
        <w:br w:type="page"/>
      </w:r>
    </w:p>
    <w:p w14:paraId="78A5FC97" w14:textId="6AAA5E27" w:rsidR="00A04BE9" w:rsidRDefault="00A04BE9" w:rsidP="00A04BE9">
      <w:pPr>
        <w:pStyle w:val="Heading1"/>
        <w:spacing w:after="240"/>
      </w:pPr>
      <w:bookmarkStart w:id="3" w:name="_Toc126035700"/>
      <w:r w:rsidRPr="00EB0E4E">
        <w:lastRenderedPageBreak/>
        <w:t>STATE OF ART IN THE FIELD OF DIGITALIZATION</w:t>
      </w:r>
      <w:r>
        <w:t xml:space="preserve"> IN EDUCATION</w:t>
      </w:r>
      <w:bookmarkEnd w:id="3"/>
    </w:p>
    <w:p w14:paraId="227A197D" w14:textId="77777777" w:rsidR="00247986" w:rsidRDefault="00247986" w:rsidP="00247986">
      <w:r>
        <w:t>Around one in eight Cypriots have never used the Internet, and around 50% lack basic digital skills. There is also a shortage of Technology specialists in Cyprus despite the increasing demand, which results in Cypriot companies searching for a specialized workforce from abroad.</w:t>
      </w:r>
    </w:p>
    <w:p w14:paraId="41309EB6" w14:textId="7C36D47A" w:rsidR="00247986" w:rsidRDefault="00247986" w:rsidP="00247986">
      <w:r>
        <w:t xml:space="preserve">Cyprus launched its own digital strategy named "Digital Strategy for Cyprus" in 2012 and has seen updates in 2015 and 2018 to correlate with the "Digital Agenda for Europe".  Its main objective lies in improving digital literacy for all unemployed workforce and businesses. In addition, invest in lifelong learning programmes with </w:t>
      </w:r>
      <w:r>
        <w:t xml:space="preserve">an </w:t>
      </w:r>
      <w:r>
        <w:t>emphasis on digital literacy and digital entrepreneurship.</w:t>
      </w:r>
    </w:p>
    <w:p w14:paraId="01458C7B" w14:textId="30B062B5" w:rsidR="00247986" w:rsidRDefault="00247986" w:rsidP="00247986">
      <w:pPr>
        <w:jc w:val="both"/>
      </w:pPr>
      <w:r>
        <w:t>Secondary Technical and Vocational Education (STVE) in Cyprus is offered in two directions Theoretical and Practical. The duration of studies in both directions is three years.</w:t>
      </w:r>
    </w:p>
    <w:p w14:paraId="642AEE6C" w14:textId="77777777" w:rsidR="00247986" w:rsidRDefault="00247986" w:rsidP="00247986">
      <w:r>
        <w:t>In the first year, the students independently of direction choose their sector and specialty, which they preserve until the last year.</w:t>
      </w:r>
    </w:p>
    <w:p w14:paraId="5E0997B9" w14:textId="7406977E" w:rsidR="00247986" w:rsidRDefault="00247986" w:rsidP="00247986">
      <w:pPr>
        <w:spacing w:after="240"/>
      </w:pPr>
      <w:r>
        <w:t>Both direction programs aim the offer a balanced schedule of general education, technological specialization, and lab practice in preparing the students so they will be able after their graduation to:</w:t>
      </w:r>
    </w:p>
    <w:p w14:paraId="310E8E7E" w14:textId="77777777" w:rsidR="00247986" w:rsidRDefault="00247986" w:rsidP="00247986">
      <w:pPr>
        <w:pStyle w:val="ListParagraph"/>
        <w:numPr>
          <w:ilvl w:val="0"/>
          <w:numId w:val="7"/>
        </w:numPr>
        <w:spacing w:line="360" w:lineRule="auto"/>
        <w:jc w:val="both"/>
      </w:pPr>
      <w:r>
        <w:t>Be employed in the industry</w:t>
      </w:r>
    </w:p>
    <w:p w14:paraId="167D3C09" w14:textId="77777777" w:rsidR="00247986" w:rsidRDefault="00247986" w:rsidP="00247986">
      <w:pPr>
        <w:pStyle w:val="ListParagraph"/>
        <w:numPr>
          <w:ilvl w:val="0"/>
          <w:numId w:val="7"/>
        </w:numPr>
        <w:spacing w:line="360" w:lineRule="auto"/>
        <w:jc w:val="both"/>
      </w:pPr>
      <w:r>
        <w:t>Continue their academic studies at the University</w:t>
      </w:r>
    </w:p>
    <w:p w14:paraId="5D74EAF4" w14:textId="3FAF0DD4" w:rsidR="00247986" w:rsidRDefault="00247986" w:rsidP="00247986">
      <w:r>
        <w:t xml:space="preserve">During their registration </w:t>
      </w:r>
      <w:r>
        <w:t>for</w:t>
      </w:r>
      <w:r>
        <w:t xml:space="preserve"> the first year of studies, the students select </w:t>
      </w:r>
      <w:r>
        <w:t>the</w:t>
      </w:r>
      <w:r>
        <w:t xml:space="preserve"> direction, sector, and specialization they wish to follow.</w:t>
      </w:r>
    </w:p>
    <w:p w14:paraId="696669A1" w14:textId="5F9630DC" w:rsidR="00247986" w:rsidRDefault="00247986" w:rsidP="00247986">
      <w:r>
        <w:t xml:space="preserve">By doing this, the students can focus on the essential subjects of their field and </w:t>
      </w:r>
      <w:r>
        <w:t xml:space="preserve">the </w:t>
      </w:r>
      <w:r>
        <w:t>specialty they chose, resulting in connecting the field's basic knowledge with their specialization.</w:t>
      </w:r>
    </w:p>
    <w:p w14:paraId="0006DDDD" w14:textId="641B9743" w:rsidR="00247986" w:rsidRDefault="00247986" w:rsidP="00A04BE9">
      <w:pPr>
        <w:jc w:val="both"/>
        <w:rPr>
          <w:rFonts w:cstheme="minorHAnsi"/>
          <w:color w:val="2F5496" w:themeColor="accent1" w:themeShade="BF"/>
        </w:rPr>
      </w:pPr>
    </w:p>
    <w:p w14:paraId="268618DB" w14:textId="3B28C389" w:rsidR="006A25D2" w:rsidRDefault="006A25D2" w:rsidP="006A25D2">
      <w:r>
        <w:t xml:space="preserve">Concerning digitalisation in VET schools starting from 2005, the Ministry of Education and Culture (MoEC) in the Republic of Cyprus has initiated an ambitious Educational Reform Programme intending to turn the vision of an efficient and more modernized educational system that will match today's world's needs and challenges. Funding by Europe has promoted ICT dramatically in the </w:t>
      </w:r>
      <w:r w:rsidRPr="006A25D2">
        <w:t>public school</w:t>
      </w:r>
      <w:r>
        <w:t xml:space="preserve"> sector in recent years.</w:t>
      </w:r>
    </w:p>
    <w:p w14:paraId="017447D4" w14:textId="1BE8FA06" w:rsidR="006A25D2" w:rsidRDefault="006A25D2" w:rsidP="006A25D2">
      <w:pPr>
        <w:spacing w:after="240"/>
      </w:pPr>
      <w:r>
        <w:t xml:space="preserve">Under the Ministry of Education and Culture's coat, an ICT integration plan has been </w:t>
      </w:r>
      <w:r w:rsidRPr="006A25D2">
        <w:t>implemented</w:t>
      </w:r>
      <w:r>
        <w:t xml:space="preserve"> in the last seven years. This program aims to efficiently use Information and Communication Technologies (ICTs) in the educational process and improve </w:t>
      </w:r>
      <w:r w:rsidRPr="006A25D2">
        <w:t>students’</w:t>
      </w:r>
      <w:r>
        <w:t xml:space="preserve"> and teachers' digital literacy. The focus objectives of this program involve:</w:t>
      </w:r>
    </w:p>
    <w:p w14:paraId="64F44151" w14:textId="77777777" w:rsidR="006A25D2" w:rsidRDefault="006A25D2" w:rsidP="006A25D2">
      <w:pPr>
        <w:pStyle w:val="ListParagraph"/>
        <w:numPr>
          <w:ilvl w:val="0"/>
          <w:numId w:val="8"/>
        </w:numPr>
        <w:spacing w:line="360" w:lineRule="auto"/>
        <w:jc w:val="both"/>
      </w:pPr>
      <w:r>
        <w:t xml:space="preserve">Equipping schools with advanced ICT infrastructure and facilities </w:t>
      </w:r>
    </w:p>
    <w:p w14:paraId="097AAE33" w14:textId="77777777" w:rsidR="006A25D2" w:rsidRDefault="006A25D2" w:rsidP="006A25D2">
      <w:pPr>
        <w:pStyle w:val="ListParagraph"/>
        <w:numPr>
          <w:ilvl w:val="0"/>
          <w:numId w:val="8"/>
        </w:numPr>
        <w:spacing w:line="360" w:lineRule="auto"/>
        <w:jc w:val="both"/>
      </w:pPr>
      <w:r>
        <w:t>Enhancing the teaching and learning support while exploiting ICT affordances according to the current curricula reform and pedagogical methods. For this goal, the MoEC has initiated two key projects:</w:t>
      </w:r>
    </w:p>
    <w:p w14:paraId="42799D70" w14:textId="77777777" w:rsidR="006A25D2" w:rsidRDefault="006A25D2" w:rsidP="006A25D2">
      <w:pPr>
        <w:pStyle w:val="ListParagraph"/>
        <w:numPr>
          <w:ilvl w:val="1"/>
          <w:numId w:val="8"/>
        </w:numPr>
        <w:spacing w:line="360" w:lineRule="auto"/>
        <w:jc w:val="both"/>
      </w:pPr>
      <w:r>
        <w:t>The e-Content and educational software procurement</w:t>
      </w:r>
    </w:p>
    <w:p w14:paraId="4E99B365" w14:textId="77777777" w:rsidR="006A25D2" w:rsidRDefault="006A25D2" w:rsidP="006A25D2">
      <w:pPr>
        <w:pStyle w:val="ListParagraph"/>
        <w:numPr>
          <w:ilvl w:val="1"/>
          <w:numId w:val="8"/>
        </w:numPr>
        <w:spacing w:line="360" w:lineRule="auto"/>
        <w:jc w:val="both"/>
      </w:pPr>
      <w:r>
        <w:lastRenderedPageBreak/>
        <w:t>Creating an educational portal and Learning Management System (LMS) named Schoolnet DIA.S.</w:t>
      </w:r>
    </w:p>
    <w:p w14:paraId="7983FE22" w14:textId="0B434CD4" w:rsidR="006A25D2" w:rsidRDefault="006A25D2" w:rsidP="006A25D2">
      <w:pPr>
        <w:pStyle w:val="ListParagraph"/>
        <w:numPr>
          <w:ilvl w:val="0"/>
          <w:numId w:val="8"/>
        </w:numPr>
        <w:spacing w:line="360" w:lineRule="auto"/>
        <w:jc w:val="both"/>
      </w:pPr>
      <w:r>
        <w:t xml:space="preserve">Educating teachers to acquire the necessary skills for using ICT tools in the educational process and </w:t>
      </w:r>
      <w:r w:rsidRPr="006A25D2">
        <w:t>keeping</w:t>
      </w:r>
      <w:r>
        <w:t xml:space="preserve"> up with the current technological developments.</w:t>
      </w:r>
    </w:p>
    <w:p w14:paraId="57B95363" w14:textId="0C939AC3" w:rsidR="006A25D2" w:rsidRDefault="006A25D2" w:rsidP="006A25D2">
      <w:r>
        <w:t xml:space="preserve">The Ministry has revised the National Curriculum of all subjects and all education sectors' </w:t>
      </w:r>
      <w:r w:rsidRPr="006A25D2">
        <w:t>timetables</w:t>
      </w:r>
      <w:r>
        <w:t xml:space="preserve"> (primary, secondary</w:t>
      </w:r>
      <w:r w:rsidRPr="006A25D2">
        <w:t>,</w:t>
      </w:r>
      <w:r>
        <w:t xml:space="preserve"> and VET) as part of the Education Reform Programme. The focus of the new curriculum is to meet society's needs. This focus, in effect, influenced the Curriculum of ICT heavily.</w:t>
      </w:r>
    </w:p>
    <w:p w14:paraId="7BC0F2AD" w14:textId="5330B5A0" w:rsidR="006A25D2" w:rsidRDefault="006A25D2" w:rsidP="006A25D2">
      <w:r>
        <w:t>According to the current VET curriculum, both Theoretical and Practical direction, students of all subjects have the opportunity of selecting an ICT course for two hours per week for the first year of their studies. This course includes Applications in Informatics such as Word Processing, Presentations, Spreadsheets, Desktop publishing</w:t>
      </w:r>
      <w:r w:rsidRPr="006A25D2">
        <w:t>,</w:t>
      </w:r>
      <w:r>
        <w:t xml:space="preserve"> and multimedia tools.</w:t>
      </w:r>
    </w:p>
    <w:p w14:paraId="342ABE66" w14:textId="0E8E1565" w:rsidR="006A25D2" w:rsidRDefault="006A25D2" w:rsidP="006A25D2">
      <w:r>
        <w:t xml:space="preserve">Concerning the Theoretical direction, students who choose the sector of Electronics and Electronic Applications have the most significant exposure to </w:t>
      </w:r>
      <w:r w:rsidRPr="006A25D2">
        <w:t>ICT-related</w:t>
      </w:r>
      <w:r>
        <w:t xml:space="preserve"> topics with "Computers, Networks and Communications" and "Digital Technology and Programming" </w:t>
      </w:r>
      <w:r w:rsidRPr="006A25D2">
        <w:t>specializations</w:t>
      </w:r>
      <w:r>
        <w:t xml:space="preserve"> covering the most courses in ICT.</w:t>
      </w:r>
    </w:p>
    <w:p w14:paraId="66D72A17" w14:textId="65C8F527" w:rsidR="006A25D2" w:rsidRPr="009262D3" w:rsidRDefault="006A25D2" w:rsidP="006A25D2">
      <w:r>
        <w:t xml:space="preserve">For the Practical direction, students in Electronics and Electronic Applications with a </w:t>
      </w:r>
      <w:r w:rsidRPr="006A25D2">
        <w:t>specialization</w:t>
      </w:r>
      <w:r>
        <w:t xml:space="preserve"> in "Computers, Networks</w:t>
      </w:r>
      <w:r w:rsidRPr="006A25D2">
        <w:t>,</w:t>
      </w:r>
      <w:r>
        <w:t xml:space="preserve"> and Communications" will have the most exposure </w:t>
      </w:r>
      <w:r w:rsidRPr="006A25D2">
        <w:t>to</w:t>
      </w:r>
      <w:r>
        <w:t xml:space="preserve"> ICT courses from the </w:t>
      </w:r>
      <w:r w:rsidRPr="006A25D2">
        <w:t>technician’s</w:t>
      </w:r>
      <w:r>
        <w:t xml:space="preserve"> point of view.</w:t>
      </w:r>
    </w:p>
    <w:p w14:paraId="68D9E932" w14:textId="77777777" w:rsidR="006A25D2" w:rsidRDefault="006A25D2" w:rsidP="006A25D2">
      <w:r>
        <w:t xml:space="preserve">Industry 4.0 is currently at a very initial stage in Cyprus. Specifically, concerning Industry 4.0 in VET schools, there is no direct course that involves this sector per se. </w:t>
      </w:r>
    </w:p>
    <w:p w14:paraId="431E1220" w14:textId="77777777" w:rsidR="006A25D2" w:rsidRDefault="006A25D2" w:rsidP="006A25D2">
      <w:r>
        <w:t xml:space="preserve">New specializations associated to ICT skills and Industry 4.0 have been added in VET education in the last decade. In the theoretical direction, these include Computer Science, Networks and Communications, Digital Technology and Programming, Industrial Design and 3D printing, Renewable Energy Sources. In the practical direction there was the introduction of the Computer Networks &amp; Communications technician specialization. </w:t>
      </w:r>
    </w:p>
    <w:p w14:paraId="73AA34C8" w14:textId="77777777" w:rsidR="006A25D2" w:rsidRDefault="006A25D2" w:rsidP="006A25D2">
      <w:pPr>
        <w:spacing w:after="240"/>
      </w:pPr>
      <w:r>
        <w:t>Additionally, the post-secondary institutes of VET in Cyprus, which have been approved as a public school of higher VET, offer accredited programmes which last for two years, leading to a Diploma. Some of the programmes of study, include subjects which aim at qualifying students for respective labor market needs and are a stepping stone for Industry 4.0 evolvement. These specializations are:</w:t>
      </w:r>
    </w:p>
    <w:p w14:paraId="63B7D0B8" w14:textId="77777777" w:rsidR="006A25D2" w:rsidRDefault="006A25D2" w:rsidP="006A25D2">
      <w:pPr>
        <w:pStyle w:val="ListParagraph"/>
        <w:numPr>
          <w:ilvl w:val="0"/>
          <w:numId w:val="9"/>
        </w:numPr>
        <w:spacing w:line="360" w:lineRule="auto"/>
        <w:jc w:val="both"/>
      </w:pPr>
      <w:r>
        <w:t>CNC technology – Woodworking industry</w:t>
      </w:r>
    </w:p>
    <w:p w14:paraId="1DCF0A9F" w14:textId="77777777" w:rsidR="006A25D2" w:rsidRDefault="006A25D2" w:rsidP="006A25D2">
      <w:pPr>
        <w:pStyle w:val="ListParagraph"/>
        <w:numPr>
          <w:ilvl w:val="0"/>
          <w:numId w:val="9"/>
        </w:numPr>
        <w:spacing w:line="360" w:lineRule="auto"/>
        <w:jc w:val="both"/>
      </w:pPr>
      <w:r>
        <w:t>Computer and Communication Networks</w:t>
      </w:r>
    </w:p>
    <w:p w14:paraId="2AD73F31" w14:textId="77777777" w:rsidR="006A25D2" w:rsidRPr="009262D3" w:rsidRDefault="006A25D2" w:rsidP="006A25D2">
      <w:pPr>
        <w:pStyle w:val="ListParagraph"/>
        <w:numPr>
          <w:ilvl w:val="0"/>
          <w:numId w:val="9"/>
        </w:numPr>
        <w:spacing w:line="360" w:lineRule="auto"/>
        <w:jc w:val="both"/>
      </w:pPr>
      <w:r>
        <w:t>Industrial and Residential Automation</w:t>
      </w:r>
    </w:p>
    <w:p w14:paraId="1186D12A" w14:textId="3DADE885" w:rsidR="00247986" w:rsidRDefault="00247986" w:rsidP="00A04BE9">
      <w:pPr>
        <w:jc w:val="both"/>
        <w:rPr>
          <w:rFonts w:cstheme="minorHAnsi"/>
          <w:color w:val="2F5496" w:themeColor="accent1" w:themeShade="BF"/>
        </w:rPr>
      </w:pPr>
    </w:p>
    <w:p w14:paraId="53BE1BC5" w14:textId="3F3C2C28" w:rsidR="006A25D2" w:rsidRDefault="006A25D2" w:rsidP="00A04BE9">
      <w:pPr>
        <w:jc w:val="both"/>
        <w:rPr>
          <w:rFonts w:cstheme="minorHAnsi"/>
          <w:color w:val="2F5496" w:themeColor="accent1" w:themeShade="BF"/>
        </w:rPr>
      </w:pPr>
    </w:p>
    <w:p w14:paraId="7D9E0606" w14:textId="77777777" w:rsidR="006A25D2" w:rsidRDefault="006A25D2" w:rsidP="006A25D2">
      <w:r>
        <w:t>"Entrepreneurship is included in the national curriculum for all schools of Technical and Vocational Education. No specialist entrepreneurship programmes or activities are offered, but all subjects include entrepreneurial components according to need (a cross-curricular approach). The National Strategy on Entrepreneurship in Education to 2010 aims to provide entrepreneurship training for all technical and vocational education teachers."</w:t>
      </w:r>
    </w:p>
    <w:p w14:paraId="325A0C11" w14:textId="77777777" w:rsidR="006A25D2" w:rsidRDefault="006A25D2" w:rsidP="006A25D2">
      <w:r>
        <w:lastRenderedPageBreak/>
        <w:t>Additionally, it is also stated in the abovementioned report that initial training for teachers on how to teach entrepreneurship in vocational education is compulsory. Moreover, all vocational education teachers must attend in-service seminars on this topic organized by the Cyprus Pedagogical Institute.</w:t>
      </w:r>
    </w:p>
    <w:p w14:paraId="69C4932D" w14:textId="77777777" w:rsidR="006A25D2" w:rsidRDefault="006A25D2" w:rsidP="006A25D2">
      <w:r>
        <w:t>Concerning students' direct entrepreneurship training, this is done through active participation in entrepreneurial competitions such as the Digital Championship organized by the Digital Champion for Cyprus, the Junior Achievement, and other competitions.</w:t>
      </w:r>
    </w:p>
    <w:p w14:paraId="354F2673" w14:textId="77777777" w:rsidR="006A25D2" w:rsidRDefault="006A25D2" w:rsidP="006A25D2">
      <w:r>
        <w:t>Such actions are reflected in the 2018/2019 Gin (Global Entrepreneurship Monitor) results, showing an improvement in entrepreneurial training at the post-school level, which is now considered a strength of Cyprus' entrepreneurial ecosystem.</w:t>
      </w:r>
    </w:p>
    <w:p w14:paraId="3882E258" w14:textId="4B14DC39" w:rsidR="006A25D2" w:rsidRDefault="006A25D2" w:rsidP="006A25D2">
      <w:r>
        <w:t xml:space="preserve">Other activities regarding the enhancement of education from an entrepreneurial perspective which the Ministry of Education supports are activities that promote entrepreneurial activities and competition at </w:t>
      </w:r>
      <w:r w:rsidR="00C203E3">
        <w:t xml:space="preserve">the </w:t>
      </w:r>
      <w:r>
        <w:t xml:space="preserve">school and university levels. These activities aim to raise awareness </w:t>
      </w:r>
      <w:r w:rsidR="00C203E3">
        <w:t>of</w:t>
      </w:r>
      <w:r>
        <w:t xml:space="preserve"> entrepreneurship, </w:t>
      </w:r>
      <w:r w:rsidR="00C203E3">
        <w:t xml:space="preserve">and </w:t>
      </w:r>
      <w:r>
        <w:t>build creativity, critical thinking</w:t>
      </w:r>
      <w:r w:rsidR="00C203E3">
        <w:t>,</w:t>
      </w:r>
      <w:r>
        <w:t xml:space="preserve"> and other related skills and competencies </w:t>
      </w:r>
      <w:r w:rsidR="00C203E3">
        <w:t>in</w:t>
      </w:r>
      <w:r>
        <w:t xml:space="preserve"> students of all ages (e.g., "Digital Entrepreneurship Competition", "Student Enterprise", "Spending Smart" etc.).</w:t>
      </w:r>
    </w:p>
    <w:p w14:paraId="10321846" w14:textId="77777777" w:rsidR="006A25D2" w:rsidRPr="009262D3" w:rsidRDefault="006A25D2" w:rsidP="006A25D2">
      <w:r>
        <w:t>An example where a Vocational school was involved in an entrepreneurial act was the case of Makarios III Technical School in Nicosia. The school joined the municipality in a project to remodel and landscape the riverside. Students surveyed the area, designed the landscape and all details (benches, lighting etc.), and built models to demonstrate their ideas. In the end, the participating students presented the project successfully at the Town Hall.</w:t>
      </w:r>
    </w:p>
    <w:p w14:paraId="7F1AE3BF" w14:textId="77777777" w:rsidR="00247986" w:rsidRDefault="00247986" w:rsidP="00A04BE9">
      <w:pPr>
        <w:jc w:val="both"/>
        <w:rPr>
          <w:rFonts w:cstheme="minorHAnsi"/>
          <w:color w:val="2F5496" w:themeColor="accent1" w:themeShade="BF"/>
        </w:rPr>
      </w:pPr>
    </w:p>
    <w:p w14:paraId="30E53911" w14:textId="29CA3F25" w:rsidR="00721342" w:rsidRDefault="008B7AD2" w:rsidP="00EB0E4E">
      <w:pPr>
        <w:pStyle w:val="Heading1"/>
        <w:spacing w:after="240"/>
      </w:pPr>
      <w:bookmarkStart w:id="4" w:name="_Toc126035701"/>
      <w:r w:rsidRPr="00721342">
        <w:t>CONCLUSION</w:t>
      </w:r>
      <w:bookmarkEnd w:id="4"/>
    </w:p>
    <w:p w14:paraId="66ABB729" w14:textId="276705CB" w:rsidR="00C203E3" w:rsidRDefault="006A25D2" w:rsidP="00721342">
      <w:r>
        <w:rPr>
          <w:lang w:val="en-US"/>
        </w:rPr>
        <w:t xml:space="preserve">To conclude, 3D education and social </w:t>
      </w:r>
      <w:r w:rsidR="00C203E3">
        <w:rPr>
          <w:lang w:val="en-US"/>
        </w:rPr>
        <w:t>entrepreneurship</w:t>
      </w:r>
      <w:r>
        <w:rPr>
          <w:lang w:val="en-US"/>
        </w:rPr>
        <w:t xml:space="preserve"> in VET schools should be improved and the ministry of education and culture </w:t>
      </w:r>
      <w:r w:rsidR="00C203E3">
        <w:t xml:space="preserve">should enhance the schools with the appropriate equipment. Additionally, regarding the deaf or hearing loss community in Cyprus, they should be supported by the ministry of education and culture regarding 3D and social entrepreneurship. </w:t>
      </w:r>
    </w:p>
    <w:p w14:paraId="29C8D3BF" w14:textId="56D00677" w:rsidR="00721342" w:rsidRPr="00C203E3" w:rsidRDefault="00C203E3" w:rsidP="00721342">
      <w:r>
        <w:t xml:space="preserve">Lastly, the opportunities in labor market should be increased in Cyprus for the deaf or hearing loss community. </w:t>
      </w:r>
    </w:p>
    <w:p w14:paraId="3565913B" w14:textId="4BF155DE" w:rsidR="00B83156" w:rsidRDefault="008B7AD2" w:rsidP="00B83156">
      <w:pPr>
        <w:pStyle w:val="Heading1"/>
        <w:rPr>
          <w:lang w:val="en-US"/>
        </w:rPr>
      </w:pPr>
      <w:bookmarkStart w:id="5" w:name="_Toc126035702"/>
      <w:r>
        <w:rPr>
          <w:lang w:val="en-US"/>
        </w:rPr>
        <w:t>REFERENCES</w:t>
      </w:r>
      <w:bookmarkEnd w:id="5"/>
      <w:r>
        <w:rPr>
          <w:lang w:val="en-US"/>
        </w:rPr>
        <w:t xml:space="preserve"> </w:t>
      </w:r>
    </w:p>
    <w:p w14:paraId="09AA8AE3" w14:textId="77777777" w:rsidR="00C203E3" w:rsidRDefault="00C203E3" w:rsidP="00B83156">
      <w:pPr>
        <w:spacing w:after="0" w:line="240" w:lineRule="auto"/>
        <w:jc w:val="both"/>
        <w:rPr>
          <w:rFonts w:cstheme="minorHAnsi"/>
          <w:bCs/>
        </w:rPr>
      </w:pPr>
    </w:p>
    <w:p w14:paraId="6E9EED7F" w14:textId="77777777" w:rsidR="00C203E3" w:rsidRDefault="00C203E3" w:rsidP="00B83156">
      <w:pPr>
        <w:spacing w:after="0" w:line="240" w:lineRule="auto"/>
        <w:jc w:val="both"/>
        <w:rPr>
          <w:rFonts w:ascii="Times New Roman" w:eastAsia="Times New Roman" w:hAnsi="Times New Roman" w:cs="Times New Roman"/>
          <w:sz w:val="24"/>
          <w:szCs w:val="24"/>
          <w:bdr w:val="single" w:sz="2" w:space="0" w:color="ECEDEE" w:frame="1"/>
        </w:rPr>
      </w:pPr>
    </w:p>
    <w:p w14:paraId="620A0278" w14:textId="77777777" w:rsidR="00C203E3" w:rsidRPr="00430DD1" w:rsidRDefault="00C203E3" w:rsidP="00EB62C8">
      <w:pPr>
        <w:jc w:val="both"/>
        <w:rPr>
          <w:rFonts w:ascii="Times New Roman" w:hAnsi="Times New Roman" w:cs="Times New Roman"/>
          <w:sz w:val="24"/>
          <w:szCs w:val="24"/>
        </w:rPr>
      </w:pPr>
      <w:r w:rsidRPr="00430DD1">
        <w:rPr>
          <w:rFonts w:ascii="Times New Roman" w:hAnsi="Times New Roman" w:cs="Times New Roman"/>
          <w:sz w:val="24"/>
          <w:szCs w:val="24"/>
        </w:rPr>
        <w:t xml:space="preserve">Anglo Info Cyprus (2019) ‘Special Needs Education’. Available at: </w:t>
      </w:r>
      <w:hyperlink r:id="rId17" w:history="1">
        <w:r w:rsidRPr="00430DD1">
          <w:rPr>
            <w:rStyle w:val="Hyperlink"/>
            <w:rFonts w:ascii="Times New Roman" w:hAnsi="Times New Roman" w:cs="Times New Roman"/>
            <w:sz w:val="24"/>
            <w:szCs w:val="24"/>
          </w:rPr>
          <w:t>https://www.angloinfo.com/how-to/cyprus/family/schooling-education/special-needs-education</w:t>
        </w:r>
      </w:hyperlink>
      <w:r w:rsidRPr="00430DD1">
        <w:rPr>
          <w:rFonts w:ascii="Times New Roman" w:hAnsi="Times New Roman" w:cs="Times New Roman"/>
          <w:sz w:val="24"/>
          <w:szCs w:val="24"/>
        </w:rPr>
        <w:t xml:space="preserve"> </w:t>
      </w:r>
    </w:p>
    <w:p w14:paraId="350D8DA3" w14:textId="77777777" w:rsidR="00C203E3" w:rsidRPr="00652F32" w:rsidRDefault="00C203E3" w:rsidP="00B83156">
      <w:pPr>
        <w:spacing w:after="0" w:line="240" w:lineRule="auto"/>
        <w:jc w:val="both"/>
        <w:rPr>
          <w:rFonts w:cstheme="minorHAnsi"/>
          <w:bCs/>
        </w:rPr>
      </w:pPr>
      <w:r w:rsidRPr="00652F32">
        <w:rPr>
          <w:rFonts w:cstheme="minorHAnsi"/>
          <w:bCs/>
        </w:rPr>
        <w:t>CEDEFOP. (2019). Developments in vocational education and training policy in 2015–19 Cyprus.</w:t>
      </w:r>
    </w:p>
    <w:p w14:paraId="14D53BE8" w14:textId="77777777" w:rsidR="00C203E3" w:rsidRPr="0087001E" w:rsidRDefault="00C203E3" w:rsidP="00AA2401">
      <w:pPr>
        <w:jc w:val="both"/>
        <w:rPr>
          <w:rFonts w:cstheme="minorHAnsi"/>
        </w:rPr>
      </w:pPr>
      <w:r w:rsidRPr="00652F32">
        <w:rPr>
          <w:rFonts w:cstheme="minorHAnsi"/>
        </w:rPr>
        <w:t>Design &amp; Technology- Digital technologies Primary Education (2018) ‘</w:t>
      </w:r>
      <w:r w:rsidRPr="00652F32">
        <w:rPr>
          <w:rFonts w:cstheme="minorHAnsi"/>
          <w:lang w:val="el-GR"/>
        </w:rPr>
        <w:t>Σχεδιασμός</w:t>
      </w:r>
      <w:r w:rsidRPr="00652F32">
        <w:rPr>
          <w:rFonts w:cstheme="minorHAnsi"/>
        </w:rPr>
        <w:t xml:space="preserve"> &amp; </w:t>
      </w:r>
      <w:r w:rsidRPr="00652F32">
        <w:rPr>
          <w:rFonts w:cstheme="minorHAnsi"/>
          <w:lang w:val="el-GR"/>
        </w:rPr>
        <w:t>Τεχνολογία</w:t>
      </w:r>
      <w:r w:rsidRPr="00652F32">
        <w:rPr>
          <w:rFonts w:cstheme="minorHAnsi"/>
        </w:rPr>
        <w:t xml:space="preserve">- </w:t>
      </w:r>
      <w:r w:rsidRPr="00652F32">
        <w:rPr>
          <w:rFonts w:cstheme="minorHAnsi"/>
          <w:lang w:val="el-GR"/>
        </w:rPr>
        <w:t>Ψηφιακές</w:t>
      </w:r>
      <w:r w:rsidRPr="00652F32">
        <w:rPr>
          <w:rFonts w:cstheme="minorHAnsi"/>
        </w:rPr>
        <w:t xml:space="preserve"> </w:t>
      </w:r>
      <w:r w:rsidRPr="00652F32">
        <w:rPr>
          <w:rFonts w:cstheme="minorHAnsi"/>
          <w:lang w:val="el-GR"/>
        </w:rPr>
        <w:t>Τεχνολογίες</w:t>
      </w:r>
      <w:r w:rsidRPr="00652F32">
        <w:rPr>
          <w:rFonts w:cstheme="minorHAnsi"/>
        </w:rPr>
        <w:t xml:space="preserve">- </w:t>
      </w:r>
      <w:r w:rsidRPr="00652F32">
        <w:rPr>
          <w:rFonts w:cstheme="minorHAnsi"/>
          <w:lang w:val="el-GR"/>
        </w:rPr>
        <w:t>Δημοτική</w:t>
      </w:r>
      <w:r w:rsidRPr="00652F32">
        <w:rPr>
          <w:rFonts w:cstheme="minorHAnsi"/>
        </w:rPr>
        <w:t xml:space="preserve"> </w:t>
      </w:r>
      <w:r w:rsidRPr="00652F32">
        <w:rPr>
          <w:rFonts w:cstheme="minorHAnsi"/>
          <w:lang w:val="el-GR"/>
        </w:rPr>
        <w:t>Εκπαίδευση</w:t>
      </w:r>
      <w:r w:rsidRPr="00652F32">
        <w:rPr>
          <w:rFonts w:cstheme="minorHAnsi"/>
        </w:rPr>
        <w:t xml:space="preserve">’ </w:t>
      </w:r>
      <w:hyperlink r:id="rId18" w:history="1">
        <w:r w:rsidRPr="00652F32">
          <w:rPr>
            <w:rStyle w:val="Hyperlink"/>
            <w:rFonts w:cstheme="minorHAnsi"/>
          </w:rPr>
          <w:t>http://scheted.schools.ac.cy/index.php/el/</w:t>
        </w:r>
      </w:hyperlink>
    </w:p>
    <w:p w14:paraId="5367E076" w14:textId="77777777" w:rsidR="00C203E3" w:rsidRDefault="00C203E3" w:rsidP="00B83156">
      <w:pPr>
        <w:spacing w:after="0" w:line="240" w:lineRule="auto"/>
        <w:jc w:val="both"/>
        <w:rPr>
          <w:rStyle w:val="Hyperlink"/>
          <w:rFonts w:eastAsia="Times New Roman" w:cstheme="minorHAnsi"/>
          <w:bdr w:val="single" w:sz="2" w:space="0" w:color="ECEDEE" w:frame="1"/>
        </w:rPr>
      </w:pPr>
      <w:r w:rsidRPr="00652F32">
        <w:rPr>
          <w:rFonts w:eastAsia="Times New Roman" w:cstheme="minorHAnsi"/>
          <w:i/>
          <w:iCs/>
          <w:bdr w:val="single" w:sz="2" w:space="0" w:color="ECEDEE" w:frame="1"/>
        </w:rPr>
        <w:t>eGnosis – eGnosis</w:t>
      </w:r>
      <w:r w:rsidRPr="00652F32">
        <w:rPr>
          <w:rFonts w:eastAsia="Times New Roman" w:cstheme="minorHAnsi"/>
        </w:rPr>
        <w:t>. (n.d.). </w:t>
      </w:r>
      <w:hyperlink r:id="rId19" w:history="1">
        <w:r w:rsidRPr="00652F32">
          <w:rPr>
            <w:rStyle w:val="Hyperlink"/>
            <w:rFonts w:eastAsia="Times New Roman" w:cstheme="minorHAnsi"/>
            <w:bdr w:val="single" w:sz="2" w:space="0" w:color="ECEDEE" w:frame="1"/>
          </w:rPr>
          <w:t>https://www.e-gnosis.gov.cy/training/</w:t>
        </w:r>
      </w:hyperlink>
    </w:p>
    <w:p w14:paraId="531AFD03" w14:textId="77777777" w:rsidR="00C203E3" w:rsidRPr="00652F32" w:rsidRDefault="00C203E3" w:rsidP="00076E60">
      <w:pPr>
        <w:jc w:val="both"/>
        <w:rPr>
          <w:rFonts w:cstheme="minorHAnsi"/>
        </w:rPr>
      </w:pPr>
      <w:r w:rsidRPr="00652F32">
        <w:rPr>
          <w:rFonts w:cstheme="minorHAnsi"/>
        </w:rPr>
        <w:t xml:space="preserve">European Commission (2018) ‘Education and Training Monitor 2018 Country Analysis’. Available at: </w:t>
      </w:r>
      <w:hyperlink r:id="rId20" w:history="1">
        <w:r w:rsidRPr="00652F32">
          <w:rPr>
            <w:rStyle w:val="Hyperlink"/>
            <w:rFonts w:cstheme="minorHAnsi"/>
          </w:rPr>
          <w:t>http://www.clc-control.lancsngfl.ac.uk/index.php</w:t>
        </w:r>
      </w:hyperlink>
      <w:r w:rsidRPr="00652F32">
        <w:rPr>
          <w:rFonts w:cstheme="minorHAnsi"/>
        </w:rPr>
        <w:t xml:space="preserve">  </w:t>
      </w:r>
    </w:p>
    <w:p w14:paraId="4D693661" w14:textId="77777777" w:rsidR="00C203E3" w:rsidRDefault="00C203E3" w:rsidP="00076E60">
      <w:pPr>
        <w:spacing w:after="0"/>
        <w:jc w:val="both"/>
        <w:rPr>
          <w:rFonts w:cstheme="minorHAnsi"/>
        </w:rPr>
      </w:pPr>
      <w:r w:rsidRPr="00652F32">
        <w:rPr>
          <w:rFonts w:cstheme="minorHAnsi"/>
        </w:rPr>
        <w:lastRenderedPageBreak/>
        <w:t xml:space="preserve">European Commission (2019) ‘Education and Training Monitor 2019’. Available at: </w:t>
      </w:r>
      <w:hyperlink r:id="rId21" w:history="1">
        <w:r w:rsidRPr="00652F32">
          <w:rPr>
            <w:rStyle w:val="Hyperlink"/>
            <w:rFonts w:cstheme="minorHAnsi"/>
          </w:rPr>
          <w:t>https://ec.europa.eu/education/sites/education/files/document-library-docs/et-monitor-report-2019-cyprus_en.pdf</w:t>
        </w:r>
      </w:hyperlink>
      <w:r w:rsidRPr="00652F32">
        <w:rPr>
          <w:rFonts w:cstheme="minorHAnsi"/>
        </w:rPr>
        <w:t xml:space="preserve"> </w:t>
      </w:r>
    </w:p>
    <w:p w14:paraId="5857FC5B" w14:textId="77777777" w:rsidR="00C203E3" w:rsidRPr="00652F32" w:rsidRDefault="00C203E3" w:rsidP="00B83156">
      <w:pPr>
        <w:spacing w:after="0" w:line="240" w:lineRule="auto"/>
        <w:jc w:val="both"/>
        <w:rPr>
          <w:rFonts w:cstheme="minorHAnsi"/>
          <w:bCs/>
        </w:rPr>
      </w:pPr>
      <w:r w:rsidRPr="00652F32">
        <w:rPr>
          <w:rFonts w:cstheme="minorHAnsi"/>
          <w:bCs/>
        </w:rPr>
        <w:t>European Commission. (2019). Monitoring progress in national initiatives on digitising industry.</w:t>
      </w:r>
    </w:p>
    <w:p w14:paraId="42791616" w14:textId="77777777" w:rsidR="00C203E3" w:rsidRDefault="00C203E3" w:rsidP="00EB62C8">
      <w:pPr>
        <w:jc w:val="both"/>
        <w:rPr>
          <w:rFonts w:ascii="Times New Roman" w:hAnsi="Times New Roman" w:cs="Times New Roman"/>
          <w:sz w:val="24"/>
          <w:szCs w:val="24"/>
        </w:rPr>
      </w:pPr>
      <w:r w:rsidRPr="00EB62C8">
        <w:rPr>
          <w:rFonts w:cstheme="minorHAnsi"/>
        </w:rPr>
        <w:t>EURYDICE (2019) ‘Cyprus Overview’. Available at:</w:t>
      </w:r>
      <w:r w:rsidRPr="00430DD1">
        <w:rPr>
          <w:rFonts w:ascii="Times New Roman" w:hAnsi="Times New Roman" w:cs="Times New Roman"/>
          <w:sz w:val="24"/>
          <w:szCs w:val="24"/>
        </w:rPr>
        <w:t xml:space="preserve"> </w:t>
      </w:r>
      <w:hyperlink r:id="rId22" w:history="1">
        <w:r w:rsidRPr="00430DD1">
          <w:rPr>
            <w:rStyle w:val="Hyperlink"/>
            <w:rFonts w:ascii="Times New Roman" w:hAnsi="Times New Roman" w:cs="Times New Roman"/>
            <w:sz w:val="24"/>
            <w:szCs w:val="24"/>
          </w:rPr>
          <w:t>https://eacea.ec.europa.eu/national-policies/eurydice/content/cyprus_en</w:t>
        </w:r>
      </w:hyperlink>
      <w:r w:rsidRPr="00430DD1">
        <w:rPr>
          <w:rFonts w:ascii="Times New Roman" w:hAnsi="Times New Roman" w:cs="Times New Roman"/>
          <w:sz w:val="24"/>
          <w:szCs w:val="24"/>
        </w:rPr>
        <w:t xml:space="preserve"> </w:t>
      </w:r>
    </w:p>
    <w:p w14:paraId="3A511A77" w14:textId="77777777" w:rsidR="00C203E3" w:rsidRPr="00430DD1" w:rsidRDefault="00C203E3" w:rsidP="00EB62C8">
      <w:pPr>
        <w:jc w:val="both"/>
        <w:rPr>
          <w:rFonts w:ascii="Times New Roman" w:hAnsi="Times New Roman" w:cs="Times New Roman"/>
          <w:sz w:val="24"/>
          <w:szCs w:val="24"/>
        </w:rPr>
      </w:pPr>
      <w:r w:rsidRPr="00430DD1">
        <w:rPr>
          <w:rFonts w:ascii="Times New Roman" w:hAnsi="Times New Roman" w:cs="Times New Roman"/>
          <w:sz w:val="24"/>
          <w:szCs w:val="24"/>
        </w:rPr>
        <w:t xml:space="preserve">Frederic University (2013) ‘Legal framework against disability discrimination at work in Cyprus’. Available at: </w:t>
      </w:r>
      <w:hyperlink r:id="rId23" w:history="1">
        <w:r w:rsidRPr="00430DD1">
          <w:rPr>
            <w:rStyle w:val="Hyperlink"/>
            <w:rFonts w:ascii="Times New Roman" w:hAnsi="Times New Roman" w:cs="Times New Roman"/>
            <w:sz w:val="24"/>
            <w:szCs w:val="24"/>
          </w:rPr>
          <w:t>https://www.researchgate.net/publication/261871391_Legal_framework_against_disability_discrimination_at_work_in_Cyprus</w:t>
        </w:r>
      </w:hyperlink>
    </w:p>
    <w:p w14:paraId="54712437" w14:textId="77777777" w:rsidR="00C203E3" w:rsidRPr="00652F32" w:rsidRDefault="00C203E3" w:rsidP="00076E60">
      <w:pPr>
        <w:spacing w:after="0" w:line="240" w:lineRule="auto"/>
        <w:jc w:val="both"/>
        <w:rPr>
          <w:rFonts w:cstheme="minorHAnsi"/>
          <w:bCs/>
        </w:rPr>
      </w:pPr>
      <w:r w:rsidRPr="00652F32">
        <w:rPr>
          <w:rFonts w:cstheme="minorHAnsi"/>
          <w:bCs/>
        </w:rPr>
        <w:t>Global Entrepreneurship Monitor. (2020). Entrepreneurship in Cyprus – National Report 2018/19.</w:t>
      </w:r>
    </w:p>
    <w:p w14:paraId="13873BC8" w14:textId="77777777" w:rsidR="00C203E3" w:rsidRDefault="00C203E3" w:rsidP="00B83156">
      <w:pPr>
        <w:spacing w:after="0" w:line="240" w:lineRule="auto"/>
        <w:jc w:val="both"/>
        <w:rPr>
          <w:rFonts w:cstheme="minorHAnsi"/>
          <w:bCs/>
        </w:rPr>
      </w:pPr>
      <w:hyperlink r:id="rId24" w:history="1">
        <w:r w:rsidRPr="00652F32">
          <w:rPr>
            <w:rStyle w:val="Hyperlink"/>
            <w:rFonts w:cstheme="minorHAnsi"/>
            <w:bCs/>
          </w:rPr>
          <w:t>http://mof.gov.cy/assets/modules/wnp/articles/201907/480/docs/blockchain_strategy_english_final.pdf</w:t>
        </w:r>
      </w:hyperlink>
      <w:r w:rsidRPr="00652F32">
        <w:rPr>
          <w:rFonts w:cstheme="minorHAnsi"/>
          <w:bCs/>
        </w:rPr>
        <w:t xml:space="preserve"> </w:t>
      </w:r>
    </w:p>
    <w:p w14:paraId="460D2D6A" w14:textId="77777777" w:rsidR="00C203E3" w:rsidRPr="00652F32" w:rsidRDefault="00C203E3" w:rsidP="00B83156">
      <w:pPr>
        <w:spacing w:after="0" w:line="240" w:lineRule="auto"/>
        <w:jc w:val="both"/>
        <w:rPr>
          <w:rFonts w:cstheme="minorHAnsi"/>
        </w:rPr>
      </w:pPr>
      <w:hyperlink r:id="rId25" w:history="1">
        <w:r w:rsidRPr="00652F32">
          <w:rPr>
            <w:rStyle w:val="Hyperlink"/>
            <w:rFonts w:cstheme="minorHAnsi"/>
            <w:bCs/>
          </w:rPr>
          <w:t>http://www.moec.gov.cy/dmteek/mtee_genikes_plirofories.html</w:t>
        </w:r>
      </w:hyperlink>
    </w:p>
    <w:p w14:paraId="02941979" w14:textId="77777777" w:rsidR="00C203E3" w:rsidRDefault="00C203E3" w:rsidP="00076E60">
      <w:pPr>
        <w:spacing w:after="0" w:line="240" w:lineRule="auto"/>
        <w:jc w:val="both"/>
        <w:rPr>
          <w:rFonts w:cstheme="minorHAnsi"/>
          <w:bCs/>
        </w:rPr>
      </w:pPr>
      <w:hyperlink r:id="rId26" w:history="1">
        <w:r w:rsidRPr="00652F32">
          <w:rPr>
            <w:rStyle w:val="Hyperlink"/>
            <w:rFonts w:cstheme="minorHAnsi"/>
            <w:bCs/>
          </w:rPr>
          <w:t>https://c4e.org.cy/reports/2019/GEM%20Report%202019-Web.pdf</w:t>
        </w:r>
      </w:hyperlink>
      <w:r w:rsidRPr="00652F32">
        <w:rPr>
          <w:rFonts w:cstheme="minorHAnsi"/>
          <w:bCs/>
        </w:rPr>
        <w:t xml:space="preserve"> </w:t>
      </w:r>
    </w:p>
    <w:p w14:paraId="06A1E1E5" w14:textId="77777777" w:rsidR="00C203E3" w:rsidRDefault="00C203E3" w:rsidP="00B83156">
      <w:pPr>
        <w:spacing w:after="0" w:line="240" w:lineRule="auto"/>
        <w:jc w:val="both"/>
        <w:rPr>
          <w:rStyle w:val="Hyperlink"/>
          <w:rFonts w:cstheme="minorHAnsi"/>
          <w:bCs/>
        </w:rPr>
      </w:pPr>
      <w:hyperlink r:id="rId27" w:history="1">
        <w:r w:rsidRPr="00652F32">
          <w:rPr>
            <w:rStyle w:val="Hyperlink"/>
            <w:rFonts w:cstheme="minorHAnsi"/>
            <w:bCs/>
          </w:rPr>
          <w:t>https://ec.europa.eu/information_society/newsroom/image/document/2019-32/country_report_-_cyprus_-_final_2019_0D322D64-DDF7-AC6E-D1E61A12F0FD2A0D_61231.pdf</w:t>
        </w:r>
      </w:hyperlink>
    </w:p>
    <w:p w14:paraId="0B63C4BF" w14:textId="77777777" w:rsidR="00C203E3" w:rsidRDefault="00C203E3" w:rsidP="00B83156">
      <w:pPr>
        <w:spacing w:after="0" w:line="240" w:lineRule="auto"/>
        <w:jc w:val="both"/>
        <w:rPr>
          <w:rFonts w:cstheme="minorHAnsi"/>
          <w:bCs/>
        </w:rPr>
      </w:pPr>
      <w:hyperlink r:id="rId28" w:history="1">
        <w:r>
          <w:rPr>
            <w:rStyle w:val="Hyperlink"/>
            <w:rFonts w:cstheme="minorHAnsi"/>
            <w:bCs/>
          </w:rPr>
          <w:t>https://robovetproject.com/english</w:t>
        </w:r>
      </w:hyperlink>
      <w:r>
        <w:rPr>
          <w:rFonts w:cstheme="minorHAnsi"/>
          <w:bCs/>
        </w:rPr>
        <w:t xml:space="preserve"> </w:t>
      </w:r>
    </w:p>
    <w:p w14:paraId="0D7F807D" w14:textId="77777777" w:rsidR="00C203E3" w:rsidRDefault="00C203E3" w:rsidP="00B83156">
      <w:pPr>
        <w:spacing w:after="0" w:line="240" w:lineRule="auto"/>
        <w:jc w:val="both"/>
        <w:rPr>
          <w:rFonts w:cstheme="minorHAnsi"/>
          <w:bCs/>
        </w:rPr>
      </w:pPr>
      <w:hyperlink r:id="rId29" w:history="1">
        <w:r w:rsidRPr="00652F32">
          <w:rPr>
            <w:rStyle w:val="Hyperlink"/>
            <w:rFonts w:cstheme="minorHAnsi"/>
            <w:bCs/>
          </w:rPr>
          <w:t>https://www.cedefop.europa.eu/en/tools/vet-in-europe/systems/cyprus</w:t>
        </w:r>
      </w:hyperlink>
      <w:r w:rsidRPr="00652F32">
        <w:rPr>
          <w:rFonts w:cstheme="minorHAnsi"/>
          <w:bCs/>
        </w:rPr>
        <w:t xml:space="preserve">  </w:t>
      </w:r>
    </w:p>
    <w:p w14:paraId="6F70ECF7" w14:textId="4E0C7F1C" w:rsidR="00C203E3" w:rsidRDefault="00C203E3" w:rsidP="00B83156">
      <w:pPr>
        <w:spacing w:after="0" w:line="240" w:lineRule="auto"/>
        <w:jc w:val="both"/>
        <w:rPr>
          <w:rFonts w:cstheme="minorHAnsi"/>
          <w:bCs/>
        </w:rPr>
      </w:pPr>
      <w:hyperlink r:id="rId30" w:history="1">
        <w:r w:rsidRPr="00652F32">
          <w:rPr>
            <w:rStyle w:val="Hyperlink"/>
            <w:rFonts w:cstheme="minorHAnsi"/>
            <w:bCs/>
          </w:rPr>
          <w:t>https://www.cedefop.europa.eu/files/developments_in_vocational_education_and_training_policy_in_2015-19_cyprus.pdf</w:t>
        </w:r>
      </w:hyperlink>
      <w:r w:rsidRPr="00652F32">
        <w:rPr>
          <w:rFonts w:cstheme="minorHAnsi"/>
          <w:bCs/>
        </w:rPr>
        <w:t xml:space="preserve"> </w:t>
      </w:r>
    </w:p>
    <w:p w14:paraId="5075263E" w14:textId="77777777" w:rsidR="00C203E3" w:rsidRDefault="00C203E3" w:rsidP="00B83156">
      <w:pPr>
        <w:spacing w:after="0" w:line="240" w:lineRule="auto"/>
        <w:jc w:val="both"/>
        <w:rPr>
          <w:rFonts w:cstheme="minorHAnsi"/>
          <w:bCs/>
        </w:rPr>
      </w:pPr>
    </w:p>
    <w:p w14:paraId="5A3FA375" w14:textId="77777777" w:rsidR="00C203E3" w:rsidRDefault="00C203E3" w:rsidP="00B83156">
      <w:pPr>
        <w:jc w:val="both"/>
        <w:rPr>
          <w:rStyle w:val="Hyperlink"/>
          <w:rFonts w:cstheme="minorHAnsi"/>
        </w:rPr>
      </w:pPr>
      <w:r w:rsidRPr="00652F32">
        <w:rPr>
          <w:rFonts w:cstheme="minorHAnsi"/>
        </w:rPr>
        <w:t xml:space="preserve">In-Cyprus (2018) ‘Education Ministry to introduce robotics courses for primary school children’. Available at: </w:t>
      </w:r>
      <w:hyperlink r:id="rId31" w:history="1">
        <w:r w:rsidRPr="00652F32">
          <w:rPr>
            <w:rStyle w:val="Hyperlink"/>
            <w:rFonts w:cstheme="minorHAnsi"/>
          </w:rPr>
          <w:t>https://in-cyprus.com/education-ministry-to-introduce-robotics-courses-for-primary-school-children/</w:t>
        </w:r>
      </w:hyperlink>
    </w:p>
    <w:p w14:paraId="566EB6B7" w14:textId="77777777" w:rsidR="00C203E3" w:rsidRPr="00B83156" w:rsidRDefault="00C203E3" w:rsidP="00076E60">
      <w:pPr>
        <w:jc w:val="both"/>
        <w:rPr>
          <w:rFonts w:cstheme="minorHAnsi"/>
        </w:rPr>
      </w:pPr>
      <w:r w:rsidRPr="00652F32">
        <w:rPr>
          <w:rFonts w:cstheme="minorHAnsi"/>
        </w:rPr>
        <w:t xml:space="preserve">Kambouri- Danos, M. (2012) ‘The Educational System in Cyprus’. WOEGA, Vol. 5, 57-67. Available at: </w:t>
      </w:r>
      <w:hyperlink r:id="rId32" w:history="1">
        <w:r w:rsidRPr="00652F32">
          <w:rPr>
            <w:rStyle w:val="Hyperlink"/>
            <w:rFonts w:cstheme="minorHAnsi"/>
          </w:rPr>
          <w:t>https://www.academia.edu/2436641/THE_EDUCATIONAL_SYSTEM_IN_CYPRUS?auto=download</w:t>
        </w:r>
      </w:hyperlink>
    </w:p>
    <w:p w14:paraId="706463F1" w14:textId="77777777" w:rsidR="00C203E3" w:rsidRPr="00AA2401" w:rsidRDefault="00C203E3" w:rsidP="00AA2401">
      <w:pPr>
        <w:jc w:val="both"/>
        <w:rPr>
          <w:rFonts w:cstheme="minorHAnsi"/>
        </w:rPr>
      </w:pPr>
      <w:r w:rsidRPr="00652F32">
        <w:rPr>
          <w:rFonts w:cstheme="minorHAnsi"/>
        </w:rPr>
        <w:t>Ministry of Education and Culture (2012) ‘</w:t>
      </w:r>
      <w:r w:rsidRPr="00652F32">
        <w:rPr>
          <w:rFonts w:cstheme="minorHAnsi"/>
          <w:lang w:val="el-GR"/>
        </w:rPr>
        <w:t>Οδηγός</w:t>
      </w:r>
      <w:r w:rsidRPr="00652F32">
        <w:rPr>
          <w:rFonts w:cstheme="minorHAnsi"/>
          <w:lang w:val="en-US"/>
        </w:rPr>
        <w:t xml:space="preserve"> </w:t>
      </w:r>
      <w:r w:rsidRPr="00652F32">
        <w:rPr>
          <w:rFonts w:cstheme="minorHAnsi"/>
          <w:lang w:val="el-GR"/>
        </w:rPr>
        <w:t>Εκπαιδευτικού</w:t>
      </w:r>
      <w:r w:rsidRPr="00652F32">
        <w:rPr>
          <w:rFonts w:cstheme="minorHAnsi"/>
        </w:rPr>
        <w:t xml:space="preserve">: </w:t>
      </w:r>
      <w:r w:rsidRPr="00652F32">
        <w:rPr>
          <w:rFonts w:cstheme="minorHAnsi"/>
          <w:lang w:val="el-GR"/>
        </w:rPr>
        <w:t>Σχεδιασμός</w:t>
      </w:r>
      <w:r w:rsidRPr="00652F32">
        <w:rPr>
          <w:rFonts w:cstheme="minorHAnsi"/>
        </w:rPr>
        <w:t xml:space="preserve"> &amp; </w:t>
      </w:r>
      <w:r w:rsidRPr="00652F32">
        <w:rPr>
          <w:rFonts w:cstheme="minorHAnsi"/>
          <w:lang w:val="el-GR"/>
        </w:rPr>
        <w:t>Τεχνολογία</w:t>
      </w:r>
      <w:r w:rsidRPr="00652F32">
        <w:rPr>
          <w:rFonts w:cstheme="minorHAnsi"/>
        </w:rPr>
        <w:t xml:space="preserve">’. Available at: </w:t>
      </w:r>
      <w:hyperlink r:id="rId33" w:history="1">
        <w:r w:rsidRPr="00652F32">
          <w:rPr>
            <w:rStyle w:val="Hyperlink"/>
            <w:rFonts w:cstheme="minorHAnsi"/>
          </w:rPr>
          <w:t>http://archeia.moec.gov.cy/sd/359/schediasmos_technologia_odigos_e_st_taxi.pdf</w:t>
        </w:r>
      </w:hyperlink>
      <w:r w:rsidRPr="00652F32">
        <w:rPr>
          <w:rFonts w:cstheme="minorHAnsi"/>
        </w:rPr>
        <w:t xml:space="preserve"> </w:t>
      </w:r>
    </w:p>
    <w:p w14:paraId="565B101B" w14:textId="77777777" w:rsidR="00C203E3" w:rsidRPr="00652F32" w:rsidRDefault="00C203E3" w:rsidP="00AA2401">
      <w:pPr>
        <w:jc w:val="both"/>
        <w:rPr>
          <w:rFonts w:cstheme="minorHAnsi"/>
        </w:rPr>
      </w:pPr>
      <w:r w:rsidRPr="00652F32">
        <w:rPr>
          <w:rFonts w:cstheme="minorHAnsi"/>
        </w:rPr>
        <w:t>Ministry</w:t>
      </w:r>
      <w:r w:rsidRPr="00652F32">
        <w:rPr>
          <w:rFonts w:cstheme="minorHAnsi"/>
          <w:lang w:val="el-GR"/>
        </w:rPr>
        <w:t xml:space="preserve"> </w:t>
      </w:r>
      <w:r w:rsidRPr="00652F32">
        <w:rPr>
          <w:rFonts w:cstheme="minorHAnsi"/>
        </w:rPr>
        <w:t>of</w:t>
      </w:r>
      <w:r w:rsidRPr="00652F32">
        <w:rPr>
          <w:rFonts w:cstheme="minorHAnsi"/>
          <w:lang w:val="el-GR"/>
        </w:rPr>
        <w:t xml:space="preserve"> </w:t>
      </w:r>
      <w:r w:rsidRPr="00652F32">
        <w:rPr>
          <w:rFonts w:cstheme="minorHAnsi"/>
        </w:rPr>
        <w:t>Education</w:t>
      </w:r>
      <w:r w:rsidRPr="00652F32">
        <w:rPr>
          <w:rFonts w:cstheme="minorHAnsi"/>
          <w:lang w:val="el-GR"/>
        </w:rPr>
        <w:t xml:space="preserve"> </w:t>
      </w:r>
      <w:r w:rsidRPr="00652F32">
        <w:rPr>
          <w:rFonts w:cstheme="minorHAnsi"/>
        </w:rPr>
        <w:t>and</w:t>
      </w:r>
      <w:r w:rsidRPr="00652F32">
        <w:rPr>
          <w:rFonts w:cstheme="minorHAnsi"/>
          <w:lang w:val="el-GR"/>
        </w:rPr>
        <w:t xml:space="preserve"> </w:t>
      </w:r>
      <w:r w:rsidRPr="00652F32">
        <w:rPr>
          <w:rFonts w:cstheme="minorHAnsi"/>
        </w:rPr>
        <w:t>Culture</w:t>
      </w:r>
      <w:r w:rsidRPr="00652F32">
        <w:rPr>
          <w:rFonts w:cstheme="minorHAnsi"/>
          <w:lang w:val="el-GR"/>
        </w:rPr>
        <w:t xml:space="preserve"> (2017) ‘Βασικές Δεξιότητες Κατασκευών – Ρομποτική: Εφαρμογή και αξιολόγηση δεικτών Α.Π’. </w:t>
      </w:r>
      <w:r w:rsidRPr="00652F32">
        <w:rPr>
          <w:rFonts w:cstheme="minorHAnsi"/>
        </w:rPr>
        <w:t xml:space="preserve">Available at: </w:t>
      </w:r>
      <w:hyperlink r:id="rId34" w:history="1">
        <w:r w:rsidRPr="00652F32">
          <w:rPr>
            <w:rStyle w:val="Hyperlink"/>
            <w:rFonts w:cstheme="minorHAnsi"/>
          </w:rPr>
          <w:t>http://archeia.moec.gov.cy/sd/503/simioseis_ekpaideytikou_sxt_robotiki.pdf</w:t>
        </w:r>
      </w:hyperlink>
    </w:p>
    <w:p w14:paraId="7E85C9E0" w14:textId="77777777" w:rsidR="00C203E3" w:rsidRPr="00652F32" w:rsidRDefault="00C203E3" w:rsidP="00AA2401">
      <w:pPr>
        <w:jc w:val="both"/>
        <w:rPr>
          <w:rFonts w:cstheme="minorHAnsi"/>
        </w:rPr>
      </w:pPr>
      <w:r w:rsidRPr="00652F32">
        <w:rPr>
          <w:rFonts w:cstheme="minorHAnsi"/>
        </w:rPr>
        <w:t>Ministry of Education and Culture (2017) ‘</w:t>
      </w:r>
      <w:r w:rsidRPr="00652F32">
        <w:rPr>
          <w:rFonts w:cstheme="minorHAnsi"/>
          <w:lang w:val="el-GR"/>
        </w:rPr>
        <w:t>Εγχειρίδιο</w:t>
      </w:r>
      <w:r w:rsidRPr="00652F32">
        <w:rPr>
          <w:rFonts w:cstheme="minorHAnsi"/>
          <w:lang w:val="en-US"/>
        </w:rPr>
        <w:t xml:space="preserve"> </w:t>
      </w:r>
      <w:r w:rsidRPr="00652F32">
        <w:rPr>
          <w:rFonts w:cstheme="minorHAnsi"/>
          <w:lang w:val="el-GR"/>
        </w:rPr>
        <w:t>χρήσης</w:t>
      </w:r>
      <w:r w:rsidRPr="00652F32">
        <w:rPr>
          <w:rFonts w:cstheme="minorHAnsi"/>
        </w:rPr>
        <w:t xml:space="preserve"> PRO-BOT’. Available at: </w:t>
      </w:r>
      <w:hyperlink r:id="rId35" w:history="1">
        <w:r w:rsidRPr="00652F32">
          <w:rPr>
            <w:rStyle w:val="Hyperlink"/>
            <w:rFonts w:cstheme="minorHAnsi"/>
          </w:rPr>
          <w:t>http://archeia.moec.gov.cy/sd/504/odigos_chrisi_pro_bot_el.pdf</w:t>
        </w:r>
      </w:hyperlink>
      <w:r w:rsidRPr="00652F32">
        <w:rPr>
          <w:rFonts w:cstheme="minorHAnsi"/>
        </w:rPr>
        <w:t xml:space="preserve"> </w:t>
      </w:r>
    </w:p>
    <w:p w14:paraId="6D9E900E" w14:textId="77777777" w:rsidR="00C203E3" w:rsidRPr="00652F32" w:rsidRDefault="00C203E3" w:rsidP="00AA2401">
      <w:pPr>
        <w:jc w:val="both"/>
        <w:rPr>
          <w:rFonts w:cstheme="minorHAnsi"/>
        </w:rPr>
      </w:pPr>
      <w:r w:rsidRPr="00652F32">
        <w:rPr>
          <w:rFonts w:cstheme="minorHAnsi"/>
        </w:rPr>
        <w:t>Ministry of Education and Culture, Sport and Youth (2014) ‘</w:t>
      </w:r>
      <w:r w:rsidRPr="00652F32">
        <w:rPr>
          <w:rFonts w:cstheme="minorHAnsi"/>
          <w:lang w:val="el-GR"/>
        </w:rPr>
        <w:t>Σχολή</w:t>
      </w:r>
      <w:r w:rsidRPr="00652F32">
        <w:rPr>
          <w:rFonts w:cstheme="minorHAnsi"/>
          <w:lang w:val="en-US"/>
        </w:rPr>
        <w:t xml:space="preserve"> </w:t>
      </w:r>
      <w:r w:rsidRPr="00652F32">
        <w:rPr>
          <w:rFonts w:cstheme="minorHAnsi"/>
          <w:lang w:val="el-GR"/>
        </w:rPr>
        <w:t>Κωφών</w:t>
      </w:r>
      <w:r w:rsidRPr="00652F32">
        <w:rPr>
          <w:rFonts w:cstheme="minorHAnsi"/>
        </w:rPr>
        <w:t xml:space="preserve">, </w:t>
      </w:r>
      <w:r w:rsidRPr="00652F32">
        <w:rPr>
          <w:rFonts w:cstheme="minorHAnsi"/>
          <w:lang w:val="el-GR"/>
        </w:rPr>
        <w:t>Πορεία</w:t>
      </w:r>
      <w:r w:rsidRPr="00652F32">
        <w:rPr>
          <w:rFonts w:cstheme="minorHAnsi"/>
          <w:lang w:val="en-US"/>
        </w:rPr>
        <w:t xml:space="preserve"> </w:t>
      </w:r>
      <w:r w:rsidRPr="00652F32">
        <w:rPr>
          <w:rFonts w:cstheme="minorHAnsi"/>
          <w:lang w:val="el-GR"/>
        </w:rPr>
        <w:t>χρόνων</w:t>
      </w:r>
      <w:r w:rsidRPr="00652F32">
        <w:rPr>
          <w:rFonts w:cstheme="minorHAnsi"/>
        </w:rPr>
        <w:t xml:space="preserve">’. Available at: </w:t>
      </w:r>
      <w:hyperlink r:id="rId36" w:history="1">
        <w:r w:rsidRPr="00652F32">
          <w:rPr>
            <w:rStyle w:val="Hyperlink"/>
            <w:rFonts w:cstheme="minorHAnsi"/>
          </w:rPr>
          <w:t>http://eid-scholi-kofon-lef.schools.ac.cy/data/uploads/scole-kopon-final-l.r..pdf</w:t>
        </w:r>
      </w:hyperlink>
    </w:p>
    <w:p w14:paraId="770968B0" w14:textId="77777777" w:rsidR="00C203E3" w:rsidRPr="00652F32" w:rsidRDefault="00C203E3" w:rsidP="00AA2401">
      <w:pPr>
        <w:jc w:val="both"/>
        <w:rPr>
          <w:rStyle w:val="Hyperlink"/>
          <w:rFonts w:cstheme="minorHAnsi"/>
        </w:rPr>
      </w:pPr>
      <w:r w:rsidRPr="00652F32">
        <w:rPr>
          <w:rFonts w:cstheme="minorHAnsi"/>
        </w:rPr>
        <w:t xml:space="preserve">Ministry of Education and Culture, Sport and Youth (2020) ‘Department of Teachers’ In-service training’. Available at: </w:t>
      </w:r>
      <w:hyperlink r:id="rId37" w:history="1">
        <w:r w:rsidRPr="00652F32">
          <w:rPr>
            <w:rStyle w:val="Hyperlink"/>
            <w:rFonts w:cstheme="minorHAnsi"/>
          </w:rPr>
          <w:t>http://www.pi.ac.cy/pi/index.php?option=com_content&amp;view=article&amp;id=50&amp;Itemid=268&amp;lang=en</w:t>
        </w:r>
      </w:hyperlink>
    </w:p>
    <w:p w14:paraId="3F020EAA" w14:textId="429FCDE9" w:rsidR="00C203E3" w:rsidRDefault="00C203E3" w:rsidP="00B83156">
      <w:pPr>
        <w:spacing w:after="0" w:line="240" w:lineRule="auto"/>
        <w:jc w:val="both"/>
        <w:rPr>
          <w:rStyle w:val="Hyperlink"/>
          <w:rFonts w:cstheme="minorHAnsi"/>
          <w:bdr w:val="single" w:sz="2" w:space="0" w:color="ECEDEE" w:frame="1"/>
          <w:shd w:val="clear" w:color="auto" w:fill="FFFFFF"/>
        </w:rPr>
      </w:pPr>
      <w:r w:rsidRPr="0045774D">
        <w:rPr>
          <w:rFonts w:cstheme="minorHAnsi"/>
          <w:color w:val="05103E"/>
          <w:shd w:val="clear" w:color="auto" w:fill="FFFFFF"/>
        </w:rPr>
        <w:t>Ministry of Labour and Social Insurance. (n.d.). </w:t>
      </w:r>
      <w:r w:rsidRPr="0045774D">
        <w:rPr>
          <w:rFonts w:cstheme="minorHAnsi"/>
          <w:i/>
          <w:iCs/>
          <w:color w:val="05103E"/>
          <w:bdr w:val="single" w:sz="2" w:space="0" w:color="ECEDEE" w:frame="1"/>
          <w:shd w:val="clear" w:color="auto" w:fill="FFFFFF"/>
        </w:rPr>
        <w:t>Ministry of Labour and Social Insurance - Republic of Cyprus</w:t>
      </w:r>
      <w:r w:rsidRPr="0045774D">
        <w:rPr>
          <w:rFonts w:cstheme="minorHAnsi"/>
          <w:color w:val="05103E"/>
          <w:shd w:val="clear" w:color="auto" w:fill="FFFFFF"/>
        </w:rPr>
        <w:t>. Ministry of Labour and Social Insurance - Republic of Cyprus. Retrieved February 8, 2023, from </w:t>
      </w:r>
      <w:hyperlink r:id="rId38" w:history="1">
        <w:r w:rsidRPr="0045774D">
          <w:rPr>
            <w:rStyle w:val="Hyperlink"/>
            <w:rFonts w:cstheme="minorHAnsi"/>
            <w:bdr w:val="single" w:sz="2" w:space="0" w:color="ECEDEE" w:frame="1"/>
            <w:shd w:val="clear" w:color="auto" w:fill="FFFFFF"/>
          </w:rPr>
          <w:t>https://www.mlsi.gov.cy/mlsi/mlsi.nsf/employmentpolicy-en/employmentpolicy-en?OpenDocument</w:t>
        </w:r>
      </w:hyperlink>
    </w:p>
    <w:p w14:paraId="07AB3492" w14:textId="77777777" w:rsidR="00C203E3" w:rsidRDefault="00C203E3" w:rsidP="00B83156">
      <w:pPr>
        <w:spacing w:after="0" w:line="240" w:lineRule="auto"/>
        <w:jc w:val="both"/>
        <w:rPr>
          <w:rStyle w:val="Hyperlink"/>
          <w:rFonts w:cstheme="minorHAnsi"/>
          <w:bdr w:val="single" w:sz="2" w:space="0" w:color="ECEDEE" w:frame="1"/>
          <w:shd w:val="clear" w:color="auto" w:fill="FFFFFF"/>
        </w:rPr>
      </w:pPr>
    </w:p>
    <w:p w14:paraId="4CF96ACC" w14:textId="6F314226" w:rsidR="00C203E3" w:rsidRDefault="00C203E3" w:rsidP="00076E60">
      <w:pPr>
        <w:spacing w:after="0"/>
        <w:jc w:val="both"/>
        <w:rPr>
          <w:rStyle w:val="Hyperlink"/>
          <w:rFonts w:cstheme="minorHAnsi"/>
        </w:rPr>
      </w:pPr>
      <w:r w:rsidRPr="00652F32">
        <w:rPr>
          <w:rFonts w:cstheme="minorHAnsi"/>
        </w:rPr>
        <w:lastRenderedPageBreak/>
        <w:t xml:space="preserve">Publications Office of the European Union (2019) ‘ICT in Education: Cyprus country report- Study’. Available at: </w:t>
      </w:r>
      <w:hyperlink r:id="rId39" w:history="1">
        <w:r w:rsidRPr="00652F32">
          <w:rPr>
            <w:rStyle w:val="Hyperlink"/>
            <w:rFonts w:cstheme="minorHAnsi"/>
          </w:rPr>
          <w:t>https://op.europa.eu/en/publication-detail/-/publication/092c1496-46d6-11e9-a8ed-01aa75ed71a1/language-en/format-PDF/source-99674504</w:t>
        </w:r>
      </w:hyperlink>
    </w:p>
    <w:p w14:paraId="4FC3AAA8" w14:textId="77777777" w:rsidR="00C203E3" w:rsidRPr="00652F32" w:rsidRDefault="00C203E3" w:rsidP="00076E60">
      <w:pPr>
        <w:spacing w:after="0"/>
        <w:jc w:val="both"/>
        <w:rPr>
          <w:rFonts w:cstheme="minorHAnsi"/>
        </w:rPr>
      </w:pPr>
    </w:p>
    <w:p w14:paraId="1782E230" w14:textId="2076DCCE" w:rsidR="00C203E3" w:rsidRDefault="00C203E3" w:rsidP="00B83156">
      <w:pPr>
        <w:spacing w:after="0" w:line="240" w:lineRule="auto"/>
        <w:jc w:val="both"/>
        <w:rPr>
          <w:rFonts w:cstheme="minorHAnsi"/>
          <w:bCs/>
        </w:rPr>
      </w:pPr>
      <w:r w:rsidRPr="00652F32">
        <w:rPr>
          <w:rFonts w:cstheme="minorHAnsi"/>
          <w:bCs/>
        </w:rPr>
        <w:t>Republic of Cyprus. (2019). Distributed Ledger Technology &amp; Blockchain:A National Strategy For Cyprus.</w:t>
      </w:r>
    </w:p>
    <w:p w14:paraId="0B018249" w14:textId="77777777" w:rsidR="00C203E3" w:rsidRPr="00652F32" w:rsidRDefault="00C203E3" w:rsidP="00B83156">
      <w:pPr>
        <w:spacing w:after="0" w:line="240" w:lineRule="auto"/>
        <w:jc w:val="both"/>
        <w:rPr>
          <w:rFonts w:cstheme="minorHAnsi"/>
          <w:bCs/>
        </w:rPr>
      </w:pPr>
    </w:p>
    <w:p w14:paraId="1B6BD6D6" w14:textId="53EFEDE1" w:rsidR="00C203E3" w:rsidRDefault="00C203E3" w:rsidP="00B83156">
      <w:pPr>
        <w:spacing w:after="0" w:line="240" w:lineRule="auto"/>
        <w:jc w:val="both"/>
        <w:rPr>
          <w:rFonts w:cstheme="minorHAnsi"/>
          <w:bCs/>
        </w:rPr>
      </w:pPr>
      <w:r w:rsidRPr="00652F32">
        <w:rPr>
          <w:rFonts w:cstheme="minorHAnsi"/>
          <w:bCs/>
        </w:rPr>
        <w:t>Secondary Technical and Vocational Education. (2020). General Information.</w:t>
      </w:r>
    </w:p>
    <w:p w14:paraId="3685B5E4" w14:textId="77777777" w:rsidR="00C203E3" w:rsidRPr="00652F32" w:rsidRDefault="00C203E3" w:rsidP="00B83156">
      <w:pPr>
        <w:spacing w:after="0" w:line="240" w:lineRule="auto"/>
        <w:jc w:val="both"/>
        <w:rPr>
          <w:rFonts w:cstheme="minorHAnsi"/>
          <w:bCs/>
        </w:rPr>
      </w:pPr>
    </w:p>
    <w:p w14:paraId="131D8984" w14:textId="77777777" w:rsidR="00C203E3" w:rsidRDefault="00C203E3" w:rsidP="00B83156">
      <w:pPr>
        <w:spacing w:after="0" w:line="240" w:lineRule="auto"/>
        <w:jc w:val="both"/>
        <w:rPr>
          <w:color w:val="05103E"/>
          <w:bdr w:val="single" w:sz="2" w:space="0" w:color="ECEDEE" w:frame="1"/>
          <w:shd w:val="clear" w:color="auto" w:fill="FFFFFF"/>
        </w:rPr>
      </w:pPr>
      <w:r w:rsidRPr="0087001E">
        <w:rPr>
          <w:color w:val="05103E"/>
          <w:shd w:val="clear" w:color="auto" w:fill="FFFFFF"/>
        </w:rPr>
        <w:t>Solutions, B. W. (2023, February 2). </w:t>
      </w:r>
      <w:r w:rsidRPr="0087001E">
        <w:rPr>
          <w:i/>
          <w:iCs/>
          <w:color w:val="05103E"/>
          <w:bdr w:val="single" w:sz="2" w:space="0" w:color="ECEDEE" w:frame="1"/>
          <w:shd w:val="clear" w:color="auto" w:fill="FFFFFF"/>
        </w:rPr>
        <w:t>MINISTRY OF FINANCE</w:t>
      </w:r>
      <w:r w:rsidRPr="0087001E">
        <w:rPr>
          <w:color w:val="05103E"/>
          <w:shd w:val="clear" w:color="auto" w:fill="FFFFFF"/>
        </w:rPr>
        <w:t>. Copyright © 2016, MINISTRY OF FINANCE. </w:t>
      </w:r>
      <w:hyperlink r:id="rId40" w:history="1">
        <w:r w:rsidRPr="0087001E">
          <w:rPr>
            <w:rStyle w:val="Hyperlink"/>
            <w:bdr w:val="single" w:sz="2" w:space="0" w:color="ECEDEE" w:frame="1"/>
            <w:shd w:val="clear" w:color="auto" w:fill="FFFFFF"/>
          </w:rPr>
          <w:t>https://mof.gov.cy/en/</w:t>
        </w:r>
      </w:hyperlink>
    </w:p>
    <w:p w14:paraId="0043925A" w14:textId="77777777" w:rsidR="00B83156" w:rsidRPr="0087001E" w:rsidRDefault="00B83156" w:rsidP="00B83156">
      <w:pPr>
        <w:spacing w:after="0" w:line="240" w:lineRule="auto"/>
        <w:jc w:val="both"/>
        <w:rPr>
          <w:color w:val="05103E"/>
          <w:bdr w:val="single" w:sz="2" w:space="0" w:color="ECEDEE" w:frame="1"/>
          <w:shd w:val="clear" w:color="auto" w:fill="FFFFFF"/>
        </w:rPr>
      </w:pPr>
    </w:p>
    <w:p w14:paraId="0B16D3F8" w14:textId="38EDE6C5" w:rsidR="00652F32" w:rsidRPr="00076E60" w:rsidRDefault="00652F32" w:rsidP="00076E60">
      <w:pPr>
        <w:rPr>
          <w:rFonts w:cstheme="minorHAnsi"/>
          <w:bCs/>
        </w:rPr>
      </w:pPr>
    </w:p>
    <w:sectPr w:rsidR="00652F32" w:rsidRPr="00076E60" w:rsidSect="00534FA9">
      <w:headerReference w:type="default" r:id="rId41"/>
      <w:footerReference w:type="default" r:id="rId4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0D24" w14:textId="77777777" w:rsidR="003945ED" w:rsidRDefault="003945ED" w:rsidP="00721342">
      <w:pPr>
        <w:spacing w:after="0" w:line="240" w:lineRule="auto"/>
      </w:pPr>
      <w:r>
        <w:separator/>
      </w:r>
    </w:p>
  </w:endnote>
  <w:endnote w:type="continuationSeparator" w:id="0">
    <w:p w14:paraId="29508D0A" w14:textId="77777777" w:rsidR="003945ED" w:rsidRDefault="003945ED" w:rsidP="0072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DEF8" w14:textId="1028DF19" w:rsidR="00721342" w:rsidRDefault="008B7AD2" w:rsidP="008B7AD2">
    <w:pPr>
      <w:pStyle w:val="Footer"/>
      <w:tabs>
        <w:tab w:val="clear" w:pos="4536"/>
        <w:tab w:val="clear" w:pos="9072"/>
        <w:tab w:val="center" w:pos="951"/>
      </w:tabs>
    </w:pPr>
    <w:r>
      <w:tab/>
    </w:r>
    <w:r w:rsidR="00534FA9">
      <w:tab/>
    </w:r>
    <w:r w:rsidR="00534FA9">
      <w:tab/>
    </w:r>
    <w:r w:rsidR="00534FA9">
      <w:tab/>
    </w:r>
    <w:r w:rsidR="00534FA9">
      <w:tab/>
    </w:r>
    <w:r w:rsidR="00534FA9">
      <w:tab/>
    </w:r>
    <w:r w:rsidR="00534FA9">
      <w:tab/>
    </w:r>
  </w:p>
  <w:tbl>
    <w:tblPr>
      <w:tblStyle w:val="TableGrid"/>
      <w:tblW w:w="10916" w:type="dxa"/>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7685"/>
      <w:gridCol w:w="440"/>
    </w:tblGrid>
    <w:tr w:rsidR="00534FA9" w14:paraId="3B5E983D" w14:textId="77777777" w:rsidTr="00534FA9">
      <w:trPr>
        <w:trHeight w:val="694"/>
      </w:trPr>
      <w:tc>
        <w:tcPr>
          <w:tcW w:w="2823" w:type="dxa"/>
        </w:tcPr>
        <w:p w14:paraId="45A24A16" w14:textId="3611C001" w:rsidR="00534FA9" w:rsidRDefault="00534FA9">
          <w:r>
            <w:rPr>
              <w:noProof/>
            </w:rPr>
            <w:drawing>
              <wp:anchor distT="0" distB="0" distL="114300" distR="114300" simplePos="0" relativeHeight="251663360" behindDoc="1" locked="0" layoutInCell="1" allowOverlap="1" wp14:anchorId="61FFA8D3" wp14:editId="27FC84EA">
                <wp:simplePos x="0" y="0"/>
                <wp:positionH relativeFrom="margin">
                  <wp:posOffset>-6350</wp:posOffset>
                </wp:positionH>
                <wp:positionV relativeFrom="paragraph">
                  <wp:posOffset>4445</wp:posOffset>
                </wp:positionV>
                <wp:extent cx="1762577" cy="36883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39" cy="375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5" w:type="dxa"/>
        </w:tcPr>
        <w:p w14:paraId="7E010EA5" w14:textId="1FF7B8CF" w:rsidR="00534FA9" w:rsidRPr="00534FA9" w:rsidRDefault="00534FA9" w:rsidP="00534FA9">
          <w:pPr>
            <w:jc w:val="both"/>
            <w:rPr>
              <w:rFonts w:cstheme="minorHAnsi"/>
              <w:sz w:val="18"/>
              <w:szCs w:val="18"/>
              <w:lang w:eastAsia="el-GR"/>
            </w:rPr>
          </w:pPr>
          <w:r w:rsidRPr="00357282">
            <w:rPr>
              <w:rFonts w:cstheme="minorHAnsi"/>
              <w:sz w:val="18"/>
              <w:szCs w:val="18"/>
              <w:lang w:eastAsia="el-GR"/>
            </w:rPr>
            <w:t>This project has been funded with support from the European Commission. This communication reflects the views only of the author, and the Commission cannot be held responsible for any use which may be made of the information contained therein.</w:t>
          </w:r>
          <w:r>
            <w:rPr>
              <w:rFonts w:cstheme="minorHAnsi"/>
              <w:sz w:val="18"/>
              <w:szCs w:val="18"/>
              <w:lang w:eastAsia="el-GR"/>
            </w:rPr>
            <w:t xml:space="preserve"> Project no. </w:t>
          </w:r>
          <w:r w:rsidRPr="0046610E">
            <w:rPr>
              <w:rFonts w:cstheme="minorHAnsi"/>
              <w:sz w:val="18"/>
              <w:szCs w:val="18"/>
              <w:lang w:eastAsia="el-GR"/>
            </w:rPr>
            <w:t>2022-1-PL01-KA220-VET-000086953</w:t>
          </w:r>
        </w:p>
      </w:tc>
      <w:tc>
        <w:tcPr>
          <w:tcW w:w="328" w:type="dxa"/>
          <w:vAlign w:val="center"/>
        </w:tcPr>
        <w:p w14:paraId="099BDC49" w14:textId="33F2D56E" w:rsidR="00534FA9" w:rsidRDefault="00000000" w:rsidP="00534FA9">
          <w:pPr>
            <w:jc w:val="center"/>
          </w:pPr>
          <w:fldSimple w:instr=" NUMPAGES  \* Arabic  \* MERGEFORMAT ">
            <w:r w:rsidR="00534FA9">
              <w:t>6</w:t>
            </w:r>
          </w:fldSimple>
        </w:p>
      </w:tc>
    </w:tr>
  </w:tbl>
  <w:p w14:paraId="17D1B80C" w14:textId="3799BABE" w:rsidR="00534FA9" w:rsidRDefault="00534FA9" w:rsidP="00534F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59B2" w14:textId="77777777" w:rsidR="003945ED" w:rsidRDefault="003945ED" w:rsidP="00721342">
      <w:pPr>
        <w:spacing w:after="0" w:line="240" w:lineRule="auto"/>
      </w:pPr>
      <w:r>
        <w:separator/>
      </w:r>
    </w:p>
  </w:footnote>
  <w:footnote w:type="continuationSeparator" w:id="0">
    <w:p w14:paraId="696ECB51" w14:textId="77777777" w:rsidR="003945ED" w:rsidRDefault="003945ED" w:rsidP="00721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1669" w14:textId="5CD4D2E6" w:rsidR="00721342" w:rsidRPr="002926DE" w:rsidRDefault="00721342" w:rsidP="002926DE">
    <w:pPr>
      <w:pStyle w:val="Header"/>
      <w:jc w:val="right"/>
      <w:rPr>
        <w:rFonts w:cstheme="minorHAnsi"/>
        <w:sz w:val="20"/>
        <w:szCs w:val="20"/>
      </w:rPr>
    </w:pPr>
    <w:r w:rsidRPr="002926DE">
      <w:rPr>
        <w:rFonts w:cstheme="minorHAnsi"/>
        <w:sz w:val="20"/>
        <w:szCs w:val="20"/>
      </w:rPr>
      <w:t>2022-1-PL01-KA220-VET-000086953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7A8"/>
    <w:multiLevelType w:val="hybridMultilevel"/>
    <w:tmpl w:val="EFDA44FE"/>
    <w:lvl w:ilvl="0" w:tplc="0809001B">
      <w:start w:val="1"/>
      <w:numFmt w:val="lowerRoman"/>
      <w:lvlText w:val="%1."/>
      <w:lvlJc w:val="right"/>
      <w:pPr>
        <w:ind w:left="720" w:hanging="360"/>
      </w:pPr>
    </w:lvl>
    <w:lvl w:ilvl="1" w:tplc="83BAF686">
      <w:start w:val="1"/>
      <w:numFmt w:val="decimal"/>
      <w:lvlText w:val="%2."/>
      <w:lvlJc w:val="left"/>
      <w:pPr>
        <w:ind w:left="1800" w:hanging="720"/>
      </w:pPr>
      <w:rPr>
        <w:rFonts w:hint="default"/>
      </w:rPr>
    </w:lvl>
    <w:lvl w:ilvl="2" w:tplc="1E1C5E2C">
      <w:start w:val="1"/>
      <w:numFmt w:val="lowerLetter"/>
      <w:lvlText w:val="%3."/>
      <w:lvlJc w:val="left"/>
      <w:pPr>
        <w:ind w:left="2700" w:hanging="720"/>
      </w:pPr>
      <w:rPr>
        <w:rFonts w:hint="default"/>
      </w:rPr>
    </w:lvl>
    <w:lvl w:ilvl="3" w:tplc="2D84A7DE">
      <w:start w:val="6"/>
      <w:numFmt w:val="bullet"/>
      <w:lvlText w:val="•"/>
      <w:lvlJc w:val="left"/>
      <w:pPr>
        <w:ind w:left="3240" w:hanging="720"/>
      </w:pPr>
      <w:rPr>
        <w:rFonts w:ascii="Calibri" w:eastAsia="Calibri" w:hAnsi="Calibri" w:cs="Calibri"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EF1AA2"/>
    <w:multiLevelType w:val="hybridMultilevel"/>
    <w:tmpl w:val="8BD62ED8"/>
    <w:lvl w:ilvl="0" w:tplc="6268C5EC">
      <w:start w:val="1"/>
      <w:numFmt w:val="bullet"/>
      <w:lvlText w:val=""/>
      <w:lvlJc w:val="left"/>
      <w:pPr>
        <w:ind w:left="720" w:hanging="360"/>
      </w:pPr>
      <w:rPr>
        <w:rFonts w:ascii="Symbol" w:hAnsi="Symbol" w:hint="default"/>
        <w:color w:val="0070C0"/>
        <w:u w:val="none" w:color="C1D7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646F7"/>
    <w:multiLevelType w:val="hybridMultilevel"/>
    <w:tmpl w:val="6E02BD98"/>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4CE47F87"/>
    <w:multiLevelType w:val="hybridMultilevel"/>
    <w:tmpl w:val="7F649916"/>
    <w:lvl w:ilvl="0" w:tplc="0809000F">
      <w:start w:val="1"/>
      <w:numFmt w:val="decimal"/>
      <w:lvlText w:val="%1."/>
      <w:lvlJc w:val="left"/>
      <w:pPr>
        <w:ind w:left="720" w:hanging="360"/>
      </w:pPr>
      <w:rPr>
        <w:rFonts w:hint="default"/>
        <w:color w:val="1DB5AE"/>
        <w:u w:val="none" w:color="C1D7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65C92"/>
    <w:multiLevelType w:val="hybridMultilevel"/>
    <w:tmpl w:val="D0E0D7E2"/>
    <w:lvl w:ilvl="0" w:tplc="80AE35E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B8B31DB"/>
    <w:multiLevelType w:val="hybridMultilevel"/>
    <w:tmpl w:val="BFE692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6A922D0D"/>
    <w:multiLevelType w:val="hybridMultilevel"/>
    <w:tmpl w:val="657A9022"/>
    <w:lvl w:ilvl="0" w:tplc="85FC75EC">
      <w:start w:val="1"/>
      <w:numFmt w:val="decimal"/>
      <w:lvlText w:val="%1."/>
      <w:lvlJc w:val="left"/>
      <w:pPr>
        <w:ind w:left="408" w:hanging="360"/>
      </w:pPr>
      <w:rPr>
        <w:rFonts w:hint="default"/>
      </w:rPr>
    </w:lvl>
    <w:lvl w:ilvl="1" w:tplc="20000019" w:tentative="1">
      <w:start w:val="1"/>
      <w:numFmt w:val="lowerLetter"/>
      <w:lvlText w:val="%2."/>
      <w:lvlJc w:val="left"/>
      <w:pPr>
        <w:ind w:left="1128" w:hanging="360"/>
      </w:pPr>
    </w:lvl>
    <w:lvl w:ilvl="2" w:tplc="2000001B" w:tentative="1">
      <w:start w:val="1"/>
      <w:numFmt w:val="lowerRoman"/>
      <w:lvlText w:val="%3."/>
      <w:lvlJc w:val="right"/>
      <w:pPr>
        <w:ind w:left="1848" w:hanging="180"/>
      </w:pPr>
    </w:lvl>
    <w:lvl w:ilvl="3" w:tplc="2000000F" w:tentative="1">
      <w:start w:val="1"/>
      <w:numFmt w:val="decimal"/>
      <w:lvlText w:val="%4."/>
      <w:lvlJc w:val="left"/>
      <w:pPr>
        <w:ind w:left="2568" w:hanging="360"/>
      </w:pPr>
    </w:lvl>
    <w:lvl w:ilvl="4" w:tplc="20000019" w:tentative="1">
      <w:start w:val="1"/>
      <w:numFmt w:val="lowerLetter"/>
      <w:lvlText w:val="%5."/>
      <w:lvlJc w:val="left"/>
      <w:pPr>
        <w:ind w:left="3288" w:hanging="360"/>
      </w:pPr>
    </w:lvl>
    <w:lvl w:ilvl="5" w:tplc="2000001B" w:tentative="1">
      <w:start w:val="1"/>
      <w:numFmt w:val="lowerRoman"/>
      <w:lvlText w:val="%6."/>
      <w:lvlJc w:val="right"/>
      <w:pPr>
        <w:ind w:left="4008" w:hanging="180"/>
      </w:pPr>
    </w:lvl>
    <w:lvl w:ilvl="6" w:tplc="2000000F" w:tentative="1">
      <w:start w:val="1"/>
      <w:numFmt w:val="decimal"/>
      <w:lvlText w:val="%7."/>
      <w:lvlJc w:val="left"/>
      <w:pPr>
        <w:ind w:left="4728" w:hanging="360"/>
      </w:pPr>
    </w:lvl>
    <w:lvl w:ilvl="7" w:tplc="20000019" w:tentative="1">
      <w:start w:val="1"/>
      <w:numFmt w:val="lowerLetter"/>
      <w:lvlText w:val="%8."/>
      <w:lvlJc w:val="left"/>
      <w:pPr>
        <w:ind w:left="5448" w:hanging="360"/>
      </w:pPr>
    </w:lvl>
    <w:lvl w:ilvl="8" w:tplc="2000001B" w:tentative="1">
      <w:start w:val="1"/>
      <w:numFmt w:val="lowerRoman"/>
      <w:lvlText w:val="%9."/>
      <w:lvlJc w:val="right"/>
      <w:pPr>
        <w:ind w:left="6168" w:hanging="180"/>
      </w:pPr>
    </w:lvl>
  </w:abstractNum>
  <w:abstractNum w:abstractNumId="7" w15:restartNumberingAfterBreak="0">
    <w:nsid w:val="77E560A8"/>
    <w:multiLevelType w:val="hybridMultilevel"/>
    <w:tmpl w:val="B3C87F3A"/>
    <w:lvl w:ilvl="0" w:tplc="516052C6">
      <w:start w:val="1"/>
      <w:numFmt w:val="bullet"/>
      <w:lvlText w:val=""/>
      <w:lvlJc w:val="left"/>
      <w:pPr>
        <w:ind w:left="720" w:hanging="360"/>
      </w:pPr>
      <w:rPr>
        <w:rFonts w:ascii="Symbol" w:hAnsi="Symbol" w:hint="default"/>
        <w:color w:val="1DB5AE"/>
        <w:u w:val="none" w:color="C1D7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459921">
    <w:abstractNumId w:val="7"/>
  </w:num>
  <w:num w:numId="2" w16cid:durableId="2078163134">
    <w:abstractNumId w:val="3"/>
  </w:num>
  <w:num w:numId="3" w16cid:durableId="583688044">
    <w:abstractNumId w:val="1"/>
  </w:num>
  <w:num w:numId="4" w16cid:durableId="776756641">
    <w:abstractNumId w:val="6"/>
  </w:num>
  <w:num w:numId="5" w16cid:durableId="1029986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5806002">
    <w:abstractNumId w:val="4"/>
  </w:num>
  <w:num w:numId="7" w16cid:durableId="1040283481">
    <w:abstractNumId w:val="5"/>
  </w:num>
  <w:num w:numId="8" w16cid:durableId="1917393682">
    <w:abstractNumId w:val="2"/>
  </w:num>
  <w:num w:numId="9" w16cid:durableId="95671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6C"/>
    <w:rsid w:val="0000044E"/>
    <w:rsid w:val="00020E98"/>
    <w:rsid w:val="00031CAC"/>
    <w:rsid w:val="0003452A"/>
    <w:rsid w:val="00043496"/>
    <w:rsid w:val="00076E60"/>
    <w:rsid w:val="000B7813"/>
    <w:rsid w:val="000D1C6C"/>
    <w:rsid w:val="000F101C"/>
    <w:rsid w:val="001139FC"/>
    <w:rsid w:val="00124233"/>
    <w:rsid w:val="00124C4B"/>
    <w:rsid w:val="00146CEE"/>
    <w:rsid w:val="0015462A"/>
    <w:rsid w:val="00156BFD"/>
    <w:rsid w:val="00181C64"/>
    <w:rsid w:val="001C644B"/>
    <w:rsid w:val="001D748F"/>
    <w:rsid w:val="001E0462"/>
    <w:rsid w:val="00243E11"/>
    <w:rsid w:val="00245C68"/>
    <w:rsid w:val="00247986"/>
    <w:rsid w:val="00261A75"/>
    <w:rsid w:val="002926DE"/>
    <w:rsid w:val="002E1A5F"/>
    <w:rsid w:val="002F62F9"/>
    <w:rsid w:val="00321F7D"/>
    <w:rsid w:val="0033045A"/>
    <w:rsid w:val="003647FF"/>
    <w:rsid w:val="003945ED"/>
    <w:rsid w:val="00395C50"/>
    <w:rsid w:val="00420A6F"/>
    <w:rsid w:val="0045774D"/>
    <w:rsid w:val="00485472"/>
    <w:rsid w:val="0049568A"/>
    <w:rsid w:val="004A20F4"/>
    <w:rsid w:val="004C02BA"/>
    <w:rsid w:val="004E0FBD"/>
    <w:rsid w:val="004F4F44"/>
    <w:rsid w:val="004F76E4"/>
    <w:rsid w:val="004F7BE7"/>
    <w:rsid w:val="00502A2A"/>
    <w:rsid w:val="00527CD0"/>
    <w:rsid w:val="00534FA9"/>
    <w:rsid w:val="005625B3"/>
    <w:rsid w:val="00563E98"/>
    <w:rsid w:val="00565D15"/>
    <w:rsid w:val="005822F6"/>
    <w:rsid w:val="00592E33"/>
    <w:rsid w:val="005C403E"/>
    <w:rsid w:val="005D00BC"/>
    <w:rsid w:val="005E0B5E"/>
    <w:rsid w:val="005E7E79"/>
    <w:rsid w:val="00652F32"/>
    <w:rsid w:val="006A25D2"/>
    <w:rsid w:val="006A5142"/>
    <w:rsid w:val="006C021C"/>
    <w:rsid w:val="006E14C7"/>
    <w:rsid w:val="006E77A6"/>
    <w:rsid w:val="007068D6"/>
    <w:rsid w:val="00716158"/>
    <w:rsid w:val="00721342"/>
    <w:rsid w:val="00736547"/>
    <w:rsid w:val="00757EEF"/>
    <w:rsid w:val="00770191"/>
    <w:rsid w:val="007B12F9"/>
    <w:rsid w:val="007B19FB"/>
    <w:rsid w:val="007B4C1D"/>
    <w:rsid w:val="007E6603"/>
    <w:rsid w:val="007F7506"/>
    <w:rsid w:val="007F7BC8"/>
    <w:rsid w:val="00815AAA"/>
    <w:rsid w:val="00860C79"/>
    <w:rsid w:val="0087001E"/>
    <w:rsid w:val="00870FC6"/>
    <w:rsid w:val="00877DD2"/>
    <w:rsid w:val="008A699C"/>
    <w:rsid w:val="008B7AD2"/>
    <w:rsid w:val="008D5865"/>
    <w:rsid w:val="009334D4"/>
    <w:rsid w:val="00944495"/>
    <w:rsid w:val="00963953"/>
    <w:rsid w:val="00983900"/>
    <w:rsid w:val="009911FB"/>
    <w:rsid w:val="00A04BE9"/>
    <w:rsid w:val="00A2194B"/>
    <w:rsid w:val="00A6135D"/>
    <w:rsid w:val="00A65199"/>
    <w:rsid w:val="00AA2401"/>
    <w:rsid w:val="00AA24FA"/>
    <w:rsid w:val="00AB6A33"/>
    <w:rsid w:val="00AD058F"/>
    <w:rsid w:val="00AD3112"/>
    <w:rsid w:val="00AE154B"/>
    <w:rsid w:val="00B24837"/>
    <w:rsid w:val="00B3797F"/>
    <w:rsid w:val="00B5745A"/>
    <w:rsid w:val="00B8110B"/>
    <w:rsid w:val="00B82909"/>
    <w:rsid w:val="00B83156"/>
    <w:rsid w:val="00BC5D06"/>
    <w:rsid w:val="00C16FC5"/>
    <w:rsid w:val="00C203E3"/>
    <w:rsid w:val="00C56FD5"/>
    <w:rsid w:val="00C57B25"/>
    <w:rsid w:val="00C8339F"/>
    <w:rsid w:val="00CA0A39"/>
    <w:rsid w:val="00CA10B5"/>
    <w:rsid w:val="00CC0BD6"/>
    <w:rsid w:val="00CF74CA"/>
    <w:rsid w:val="00D0731C"/>
    <w:rsid w:val="00D64457"/>
    <w:rsid w:val="00DE3A2F"/>
    <w:rsid w:val="00E27A6E"/>
    <w:rsid w:val="00E6286D"/>
    <w:rsid w:val="00E96251"/>
    <w:rsid w:val="00EB0E4E"/>
    <w:rsid w:val="00EB62C8"/>
    <w:rsid w:val="00EC1C47"/>
    <w:rsid w:val="00FB311F"/>
    <w:rsid w:val="00FD3DA9"/>
    <w:rsid w:val="00FD489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36921"/>
  <w15:chartTrackingRefBased/>
  <w15:docId w15:val="{A4679F9E-7A18-4AF2-B05F-43439DE7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5C403E"/>
    <w:pPr>
      <w:spacing w:after="0" w:line="240" w:lineRule="auto"/>
    </w:pPr>
    <w:rPr>
      <w:rFonts w:ascii="Times New Roman" w:eastAsia="Times New Roman" w:hAnsi="Times New Roman" w:cs="Times New Roman"/>
      <w:sz w:val="24"/>
      <w:szCs w:val="24"/>
      <w:lang w:eastAsia="bg-BG"/>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7213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eader">
    <w:name w:val="header"/>
    <w:basedOn w:val="Normal"/>
    <w:link w:val="HeaderChar"/>
    <w:uiPriority w:val="99"/>
    <w:unhideWhenUsed/>
    <w:rsid w:val="007213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1342"/>
  </w:style>
  <w:style w:type="paragraph" w:styleId="Footer">
    <w:name w:val="footer"/>
    <w:basedOn w:val="Normal"/>
    <w:link w:val="FooterChar"/>
    <w:uiPriority w:val="99"/>
    <w:unhideWhenUsed/>
    <w:rsid w:val="007213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1342"/>
  </w:style>
  <w:style w:type="table" w:styleId="TableGrid">
    <w:name w:val="Table Grid"/>
    <w:basedOn w:val="TableNormal"/>
    <w:uiPriority w:val="39"/>
    <w:rsid w:val="007213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21342"/>
    <w:pPr>
      <w:ind w:left="720"/>
      <w:contextualSpacing/>
    </w:pPr>
  </w:style>
  <w:style w:type="character" w:customStyle="1" w:styleId="Heading1Char">
    <w:name w:val="Heading 1 Char"/>
    <w:basedOn w:val="DefaultParagraphFont"/>
    <w:link w:val="Heading1"/>
    <w:uiPriority w:val="9"/>
    <w:rsid w:val="002926D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B0E4E"/>
    <w:pPr>
      <w:outlineLvl w:val="9"/>
    </w:pPr>
    <w:rPr>
      <w:lang w:eastAsia="en-GB"/>
    </w:rPr>
  </w:style>
  <w:style w:type="paragraph" w:styleId="TOC1">
    <w:name w:val="toc 1"/>
    <w:basedOn w:val="Normal"/>
    <w:next w:val="Normal"/>
    <w:autoRedefine/>
    <w:uiPriority w:val="39"/>
    <w:unhideWhenUsed/>
    <w:rsid w:val="00EB0E4E"/>
    <w:pPr>
      <w:spacing w:after="100"/>
    </w:pPr>
  </w:style>
  <w:style w:type="character" w:styleId="Hyperlink">
    <w:name w:val="Hyperlink"/>
    <w:basedOn w:val="DefaultParagraphFont"/>
    <w:uiPriority w:val="99"/>
    <w:unhideWhenUsed/>
    <w:rsid w:val="00EB0E4E"/>
    <w:rPr>
      <w:color w:val="0563C1" w:themeColor="hyperlink"/>
      <w:u w:val="single"/>
    </w:rPr>
  </w:style>
  <w:style w:type="paragraph" w:styleId="Title">
    <w:name w:val="Title"/>
    <w:basedOn w:val="Normal"/>
    <w:next w:val="Normal"/>
    <w:link w:val="TitleChar"/>
    <w:uiPriority w:val="10"/>
    <w:qFormat/>
    <w:rsid w:val="00EB0E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E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0E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0E4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C16FC5"/>
    <w:rPr>
      <w:sz w:val="16"/>
      <w:szCs w:val="16"/>
    </w:rPr>
  </w:style>
  <w:style w:type="paragraph" w:styleId="CommentText">
    <w:name w:val="annotation text"/>
    <w:basedOn w:val="Normal"/>
    <w:link w:val="CommentTextChar"/>
    <w:uiPriority w:val="99"/>
    <w:semiHidden/>
    <w:unhideWhenUsed/>
    <w:rsid w:val="00C16FC5"/>
    <w:pPr>
      <w:spacing w:line="240" w:lineRule="auto"/>
    </w:pPr>
    <w:rPr>
      <w:sz w:val="20"/>
      <w:szCs w:val="20"/>
    </w:rPr>
  </w:style>
  <w:style w:type="character" w:customStyle="1" w:styleId="CommentTextChar">
    <w:name w:val="Comment Text Char"/>
    <w:basedOn w:val="DefaultParagraphFont"/>
    <w:link w:val="CommentText"/>
    <w:uiPriority w:val="99"/>
    <w:semiHidden/>
    <w:rsid w:val="00C16FC5"/>
    <w:rPr>
      <w:sz w:val="20"/>
      <w:szCs w:val="20"/>
    </w:rPr>
  </w:style>
  <w:style w:type="paragraph" w:styleId="CommentSubject">
    <w:name w:val="annotation subject"/>
    <w:basedOn w:val="CommentText"/>
    <w:next w:val="CommentText"/>
    <w:link w:val="CommentSubjectChar"/>
    <w:uiPriority w:val="99"/>
    <w:semiHidden/>
    <w:unhideWhenUsed/>
    <w:rsid w:val="00C16FC5"/>
    <w:rPr>
      <w:b/>
      <w:bCs/>
    </w:rPr>
  </w:style>
  <w:style w:type="character" w:customStyle="1" w:styleId="CommentSubjectChar">
    <w:name w:val="Comment Subject Char"/>
    <w:basedOn w:val="CommentTextChar"/>
    <w:link w:val="CommentSubject"/>
    <w:uiPriority w:val="99"/>
    <w:semiHidden/>
    <w:rsid w:val="00C16FC5"/>
    <w:rPr>
      <w:b/>
      <w:bCs/>
      <w:sz w:val="20"/>
      <w:szCs w:val="20"/>
    </w:rPr>
  </w:style>
  <w:style w:type="character" w:styleId="UnresolvedMention">
    <w:name w:val="Unresolved Mention"/>
    <w:basedOn w:val="DefaultParagraphFont"/>
    <w:uiPriority w:val="99"/>
    <w:semiHidden/>
    <w:unhideWhenUsed/>
    <w:rsid w:val="007B4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7259">
      <w:bodyDiv w:val="1"/>
      <w:marLeft w:val="0"/>
      <w:marRight w:val="0"/>
      <w:marTop w:val="0"/>
      <w:marBottom w:val="0"/>
      <w:divBdr>
        <w:top w:val="none" w:sz="0" w:space="0" w:color="auto"/>
        <w:left w:val="none" w:sz="0" w:space="0" w:color="auto"/>
        <w:bottom w:val="none" w:sz="0" w:space="0" w:color="auto"/>
        <w:right w:val="none" w:sz="0" w:space="0" w:color="auto"/>
      </w:divBdr>
    </w:div>
    <w:div w:id="214857098">
      <w:bodyDiv w:val="1"/>
      <w:marLeft w:val="0"/>
      <w:marRight w:val="0"/>
      <w:marTop w:val="0"/>
      <w:marBottom w:val="0"/>
      <w:divBdr>
        <w:top w:val="none" w:sz="0" w:space="0" w:color="auto"/>
        <w:left w:val="none" w:sz="0" w:space="0" w:color="auto"/>
        <w:bottom w:val="none" w:sz="0" w:space="0" w:color="auto"/>
        <w:right w:val="none" w:sz="0" w:space="0" w:color="auto"/>
      </w:divBdr>
    </w:div>
    <w:div w:id="554199405">
      <w:bodyDiv w:val="1"/>
      <w:marLeft w:val="0"/>
      <w:marRight w:val="0"/>
      <w:marTop w:val="0"/>
      <w:marBottom w:val="0"/>
      <w:divBdr>
        <w:top w:val="none" w:sz="0" w:space="0" w:color="auto"/>
        <w:left w:val="none" w:sz="0" w:space="0" w:color="auto"/>
        <w:bottom w:val="none" w:sz="0" w:space="0" w:color="auto"/>
        <w:right w:val="none" w:sz="0" w:space="0" w:color="auto"/>
      </w:divBdr>
    </w:div>
    <w:div w:id="657805461">
      <w:bodyDiv w:val="1"/>
      <w:marLeft w:val="0"/>
      <w:marRight w:val="0"/>
      <w:marTop w:val="0"/>
      <w:marBottom w:val="0"/>
      <w:divBdr>
        <w:top w:val="none" w:sz="0" w:space="0" w:color="auto"/>
        <w:left w:val="none" w:sz="0" w:space="0" w:color="auto"/>
        <w:bottom w:val="none" w:sz="0" w:space="0" w:color="auto"/>
        <w:right w:val="none" w:sz="0" w:space="0" w:color="auto"/>
      </w:divBdr>
      <w:divsChild>
        <w:div w:id="1711957821">
          <w:marLeft w:val="0"/>
          <w:marRight w:val="0"/>
          <w:marTop w:val="0"/>
          <w:marBottom w:val="0"/>
          <w:divBdr>
            <w:top w:val="single" w:sz="2" w:space="0" w:color="ECEDEE"/>
            <w:left w:val="single" w:sz="2" w:space="0" w:color="ECEDEE"/>
            <w:bottom w:val="single" w:sz="2" w:space="0" w:color="ECEDEE"/>
            <w:right w:val="single" w:sz="2" w:space="0" w:color="ECEDEE"/>
          </w:divBdr>
          <w:divsChild>
            <w:div w:id="811022529">
              <w:marLeft w:val="0"/>
              <w:marRight w:val="0"/>
              <w:marTop w:val="0"/>
              <w:marBottom w:val="0"/>
              <w:divBdr>
                <w:top w:val="single" w:sz="2" w:space="0" w:color="ECEDEE"/>
                <w:left w:val="single" w:sz="2" w:space="0" w:color="ECEDEE"/>
                <w:bottom w:val="single" w:sz="2" w:space="0" w:color="ECEDEE"/>
                <w:right w:val="single" w:sz="2" w:space="0" w:color="ECEDEE"/>
              </w:divBdr>
            </w:div>
          </w:divsChild>
        </w:div>
      </w:divsChild>
    </w:div>
    <w:div w:id="711807369">
      <w:bodyDiv w:val="1"/>
      <w:marLeft w:val="0"/>
      <w:marRight w:val="0"/>
      <w:marTop w:val="0"/>
      <w:marBottom w:val="0"/>
      <w:divBdr>
        <w:top w:val="none" w:sz="0" w:space="0" w:color="auto"/>
        <w:left w:val="none" w:sz="0" w:space="0" w:color="auto"/>
        <w:bottom w:val="none" w:sz="0" w:space="0" w:color="auto"/>
        <w:right w:val="none" w:sz="0" w:space="0" w:color="auto"/>
      </w:divBdr>
    </w:div>
    <w:div w:id="812790592">
      <w:bodyDiv w:val="1"/>
      <w:marLeft w:val="0"/>
      <w:marRight w:val="0"/>
      <w:marTop w:val="0"/>
      <w:marBottom w:val="0"/>
      <w:divBdr>
        <w:top w:val="none" w:sz="0" w:space="0" w:color="auto"/>
        <w:left w:val="none" w:sz="0" w:space="0" w:color="auto"/>
        <w:bottom w:val="none" w:sz="0" w:space="0" w:color="auto"/>
        <w:right w:val="none" w:sz="0" w:space="0" w:color="auto"/>
      </w:divBdr>
    </w:div>
    <w:div w:id="873495824">
      <w:bodyDiv w:val="1"/>
      <w:marLeft w:val="0"/>
      <w:marRight w:val="0"/>
      <w:marTop w:val="0"/>
      <w:marBottom w:val="0"/>
      <w:divBdr>
        <w:top w:val="none" w:sz="0" w:space="0" w:color="auto"/>
        <w:left w:val="none" w:sz="0" w:space="0" w:color="auto"/>
        <w:bottom w:val="none" w:sz="0" w:space="0" w:color="auto"/>
        <w:right w:val="none" w:sz="0" w:space="0" w:color="auto"/>
      </w:divBdr>
    </w:div>
    <w:div w:id="915362230">
      <w:bodyDiv w:val="1"/>
      <w:marLeft w:val="0"/>
      <w:marRight w:val="0"/>
      <w:marTop w:val="0"/>
      <w:marBottom w:val="0"/>
      <w:divBdr>
        <w:top w:val="none" w:sz="0" w:space="0" w:color="auto"/>
        <w:left w:val="none" w:sz="0" w:space="0" w:color="auto"/>
        <w:bottom w:val="none" w:sz="0" w:space="0" w:color="auto"/>
        <w:right w:val="none" w:sz="0" w:space="0" w:color="auto"/>
      </w:divBdr>
    </w:div>
    <w:div w:id="1073773233">
      <w:bodyDiv w:val="1"/>
      <w:marLeft w:val="0"/>
      <w:marRight w:val="0"/>
      <w:marTop w:val="0"/>
      <w:marBottom w:val="0"/>
      <w:divBdr>
        <w:top w:val="none" w:sz="0" w:space="0" w:color="auto"/>
        <w:left w:val="none" w:sz="0" w:space="0" w:color="auto"/>
        <w:bottom w:val="none" w:sz="0" w:space="0" w:color="auto"/>
        <w:right w:val="none" w:sz="0" w:space="0" w:color="auto"/>
      </w:divBdr>
    </w:div>
    <w:div w:id="1078744103">
      <w:bodyDiv w:val="1"/>
      <w:marLeft w:val="0"/>
      <w:marRight w:val="0"/>
      <w:marTop w:val="0"/>
      <w:marBottom w:val="0"/>
      <w:divBdr>
        <w:top w:val="none" w:sz="0" w:space="0" w:color="auto"/>
        <w:left w:val="none" w:sz="0" w:space="0" w:color="auto"/>
        <w:bottom w:val="none" w:sz="0" w:space="0" w:color="auto"/>
        <w:right w:val="none" w:sz="0" w:space="0" w:color="auto"/>
      </w:divBdr>
      <w:divsChild>
        <w:div w:id="1296982439">
          <w:marLeft w:val="0"/>
          <w:marRight w:val="0"/>
          <w:marTop w:val="0"/>
          <w:marBottom w:val="360"/>
          <w:divBdr>
            <w:top w:val="none" w:sz="0" w:space="0" w:color="auto"/>
            <w:left w:val="none" w:sz="0" w:space="0" w:color="auto"/>
            <w:bottom w:val="none" w:sz="0" w:space="0" w:color="auto"/>
            <w:right w:val="none" w:sz="0" w:space="0" w:color="auto"/>
          </w:divBdr>
          <w:divsChild>
            <w:div w:id="15170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7628">
      <w:bodyDiv w:val="1"/>
      <w:marLeft w:val="0"/>
      <w:marRight w:val="0"/>
      <w:marTop w:val="0"/>
      <w:marBottom w:val="0"/>
      <w:divBdr>
        <w:top w:val="none" w:sz="0" w:space="0" w:color="auto"/>
        <w:left w:val="none" w:sz="0" w:space="0" w:color="auto"/>
        <w:bottom w:val="none" w:sz="0" w:space="0" w:color="auto"/>
        <w:right w:val="none" w:sz="0" w:space="0" w:color="auto"/>
      </w:divBdr>
    </w:div>
    <w:div w:id="1243297635">
      <w:bodyDiv w:val="1"/>
      <w:marLeft w:val="0"/>
      <w:marRight w:val="0"/>
      <w:marTop w:val="0"/>
      <w:marBottom w:val="0"/>
      <w:divBdr>
        <w:top w:val="none" w:sz="0" w:space="0" w:color="auto"/>
        <w:left w:val="none" w:sz="0" w:space="0" w:color="auto"/>
        <w:bottom w:val="none" w:sz="0" w:space="0" w:color="auto"/>
        <w:right w:val="none" w:sz="0" w:space="0" w:color="auto"/>
      </w:divBdr>
    </w:div>
    <w:div w:id="1292976782">
      <w:bodyDiv w:val="1"/>
      <w:marLeft w:val="0"/>
      <w:marRight w:val="0"/>
      <w:marTop w:val="0"/>
      <w:marBottom w:val="0"/>
      <w:divBdr>
        <w:top w:val="none" w:sz="0" w:space="0" w:color="auto"/>
        <w:left w:val="none" w:sz="0" w:space="0" w:color="auto"/>
        <w:bottom w:val="none" w:sz="0" w:space="0" w:color="auto"/>
        <w:right w:val="none" w:sz="0" w:space="0" w:color="auto"/>
      </w:divBdr>
    </w:div>
    <w:div w:id="1358505428">
      <w:bodyDiv w:val="1"/>
      <w:marLeft w:val="0"/>
      <w:marRight w:val="0"/>
      <w:marTop w:val="0"/>
      <w:marBottom w:val="0"/>
      <w:divBdr>
        <w:top w:val="none" w:sz="0" w:space="0" w:color="auto"/>
        <w:left w:val="none" w:sz="0" w:space="0" w:color="auto"/>
        <w:bottom w:val="none" w:sz="0" w:space="0" w:color="auto"/>
        <w:right w:val="none" w:sz="0" w:space="0" w:color="auto"/>
      </w:divBdr>
    </w:div>
    <w:div w:id="1557544970">
      <w:bodyDiv w:val="1"/>
      <w:marLeft w:val="0"/>
      <w:marRight w:val="0"/>
      <w:marTop w:val="0"/>
      <w:marBottom w:val="0"/>
      <w:divBdr>
        <w:top w:val="none" w:sz="0" w:space="0" w:color="auto"/>
        <w:left w:val="none" w:sz="0" w:space="0" w:color="auto"/>
        <w:bottom w:val="none" w:sz="0" w:space="0" w:color="auto"/>
        <w:right w:val="none" w:sz="0" w:space="0" w:color="auto"/>
      </w:divBdr>
    </w:div>
    <w:div w:id="1595093978">
      <w:bodyDiv w:val="1"/>
      <w:marLeft w:val="0"/>
      <w:marRight w:val="0"/>
      <w:marTop w:val="0"/>
      <w:marBottom w:val="0"/>
      <w:divBdr>
        <w:top w:val="none" w:sz="0" w:space="0" w:color="auto"/>
        <w:left w:val="none" w:sz="0" w:space="0" w:color="auto"/>
        <w:bottom w:val="none" w:sz="0" w:space="0" w:color="auto"/>
        <w:right w:val="none" w:sz="0" w:space="0" w:color="auto"/>
      </w:divBdr>
    </w:div>
    <w:div w:id="1721397929">
      <w:bodyDiv w:val="1"/>
      <w:marLeft w:val="0"/>
      <w:marRight w:val="0"/>
      <w:marTop w:val="0"/>
      <w:marBottom w:val="0"/>
      <w:divBdr>
        <w:top w:val="none" w:sz="0" w:space="0" w:color="auto"/>
        <w:left w:val="none" w:sz="0" w:space="0" w:color="auto"/>
        <w:bottom w:val="none" w:sz="0" w:space="0" w:color="auto"/>
        <w:right w:val="none" w:sz="0" w:space="0" w:color="auto"/>
      </w:divBdr>
    </w:div>
    <w:div w:id="1724982347">
      <w:bodyDiv w:val="1"/>
      <w:marLeft w:val="0"/>
      <w:marRight w:val="0"/>
      <w:marTop w:val="0"/>
      <w:marBottom w:val="0"/>
      <w:divBdr>
        <w:top w:val="none" w:sz="0" w:space="0" w:color="auto"/>
        <w:left w:val="none" w:sz="0" w:space="0" w:color="auto"/>
        <w:bottom w:val="none" w:sz="0" w:space="0" w:color="auto"/>
        <w:right w:val="none" w:sz="0" w:space="0" w:color="auto"/>
      </w:divBdr>
    </w:div>
    <w:div w:id="2059477107">
      <w:bodyDiv w:val="1"/>
      <w:marLeft w:val="0"/>
      <w:marRight w:val="0"/>
      <w:marTop w:val="0"/>
      <w:marBottom w:val="0"/>
      <w:divBdr>
        <w:top w:val="none" w:sz="0" w:space="0" w:color="auto"/>
        <w:left w:val="none" w:sz="0" w:space="0" w:color="auto"/>
        <w:bottom w:val="none" w:sz="0" w:space="0" w:color="auto"/>
        <w:right w:val="none" w:sz="0" w:space="0" w:color="auto"/>
      </w:divBdr>
    </w:div>
    <w:div w:id="21444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cheted.schools.ac.cy/index.php/el/" TargetMode="External"/><Relationship Id="rId26" Type="http://schemas.openxmlformats.org/officeDocument/2006/relationships/hyperlink" Target="https://c4e.org.cy/reports/2019/GEM%20Report%202019-Web.pdf" TargetMode="External"/><Relationship Id="rId39" Type="http://schemas.openxmlformats.org/officeDocument/2006/relationships/hyperlink" Target="https://op.europa.eu/en/publication-detail/-/publication/092c1496-46d6-11e9-a8ed-01aa75ed71a1/language-en/format-PDF/source-99674504" TargetMode="External"/><Relationship Id="rId21" Type="http://schemas.openxmlformats.org/officeDocument/2006/relationships/hyperlink" Target="https://ec.europa.eu/education/sites/education/files/document-library-docs/et-monitor-report-2019-cyprus_en.pdf" TargetMode="External"/><Relationship Id="rId34" Type="http://schemas.openxmlformats.org/officeDocument/2006/relationships/hyperlink" Target="http://archeia.moec.gov.cy/sd/503/simioseis_ekpaideytikou_sxt_robotiki.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clc-control.lancsngfl.ac.uk/index.php" TargetMode="External"/><Relationship Id="rId29" Type="http://schemas.openxmlformats.org/officeDocument/2006/relationships/hyperlink" Target="https://www.cedefop.europa.eu/en/tools/vet-in-europe/systems/cypru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mof.gov.cy/assets/modules/wnp/articles/201907/480/docs/blockchain_strategy_english_final.pdf" TargetMode="External"/><Relationship Id="rId32" Type="http://schemas.openxmlformats.org/officeDocument/2006/relationships/hyperlink" Target="https://www.academia.edu/2436641/THE_EDUCATIONAL_SYSTEM_IN_CYPRUS?auto=download" TargetMode="External"/><Relationship Id="rId37" Type="http://schemas.openxmlformats.org/officeDocument/2006/relationships/hyperlink" Target="http://www.pi.ac.cy/pi/index.php?option=com_content&amp;view=article&amp;id=50&amp;Itemid=268&amp;lang=en" TargetMode="External"/><Relationship Id="rId40" Type="http://schemas.openxmlformats.org/officeDocument/2006/relationships/hyperlink" Target="https://mof.gov.cy/en/"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researchgate.net/publication/261871391_Legal_framework_against_disability_discrimination_at_work_in_Cyprus" TargetMode="External"/><Relationship Id="rId28" Type="http://schemas.openxmlformats.org/officeDocument/2006/relationships/hyperlink" Target="https://robovetproject.com/english" TargetMode="External"/><Relationship Id="rId36" Type="http://schemas.openxmlformats.org/officeDocument/2006/relationships/hyperlink" Target="http://eid-scholi-kofon-lef.schools.ac.cy/data/uploads/scole-kopon-final-l.r..pdf" TargetMode="External"/><Relationship Id="rId10" Type="http://schemas.openxmlformats.org/officeDocument/2006/relationships/image" Target="media/image3.png"/><Relationship Id="rId19" Type="http://schemas.openxmlformats.org/officeDocument/2006/relationships/hyperlink" Target="https://www.e-gnosis.gov.cy/training/" TargetMode="External"/><Relationship Id="rId31" Type="http://schemas.openxmlformats.org/officeDocument/2006/relationships/hyperlink" Target="https://in-cyprus.com/education-ministry-to-introduce-robotics-courses-for-primary-school-childr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eacea.ec.europa.eu/national-policies/eurydice/content/cyprus_en" TargetMode="External"/><Relationship Id="rId27" Type="http://schemas.openxmlformats.org/officeDocument/2006/relationships/hyperlink" Target="https://ec.europa.eu/information_society/newsroom/image/document/2019-32/country_report_-_cyprus_-_final_2019_0D322D64-DDF7-AC6E-D1E61A12F0FD2A0D_61231.pdf" TargetMode="External"/><Relationship Id="rId30" Type="http://schemas.openxmlformats.org/officeDocument/2006/relationships/hyperlink" Target="https://www.cedefop.europa.eu/files/developments_in_vocational_education_and_training_policy_in_2015-19_cyprus.pdf" TargetMode="External"/><Relationship Id="rId35" Type="http://schemas.openxmlformats.org/officeDocument/2006/relationships/hyperlink" Target="http://archeia.moec.gov.cy/sd/504/odigos_chrisi_pro_bot_el.p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angloinfo.com/how-to/cyprus/family/schooling-education/special-needs-education" TargetMode="External"/><Relationship Id="rId25" Type="http://schemas.openxmlformats.org/officeDocument/2006/relationships/hyperlink" Target="http://www.moec.gov.cy/dmteek/mtee_genikes_plirofories.html" TargetMode="External"/><Relationship Id="rId33" Type="http://schemas.openxmlformats.org/officeDocument/2006/relationships/hyperlink" Target="http://archeia.moec.gov.cy/sd/359/schediasmos_technologia_odigos_e_st_taxi.pdf" TargetMode="External"/><Relationship Id="rId38" Type="http://schemas.openxmlformats.org/officeDocument/2006/relationships/hyperlink" Target="https://www.mlsi.gov.cy/mlsi/mlsi.nsf/employmentpolicy-en/employmentpolicy-en?OpenDocu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7FA0-213E-42A2-8C8F-AF84AEA8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12</Pages>
  <Words>3411</Words>
  <Characters>19993</Characters>
  <Application>Microsoft Office Word</Application>
  <DocSecurity>0</DocSecurity>
  <Lines>408</Lines>
  <Paragraphs>164</Paragraphs>
  <ScaleCrop>false</ScaleCrop>
  <HeadingPairs>
    <vt:vector size="6" baseType="variant">
      <vt:variant>
        <vt:lpstr>Title</vt:lpstr>
      </vt:variant>
      <vt:variant>
        <vt:i4>1</vt:i4>
      </vt:variant>
      <vt:variant>
        <vt:lpstr>Tytuł</vt:lpstr>
      </vt:variant>
      <vt:variant>
        <vt:i4>1</vt:i4>
      </vt:variant>
      <vt:variant>
        <vt:lpstr>Nagłówki</vt:lpstr>
      </vt:variant>
      <vt:variant>
        <vt:i4>6</vt:i4>
      </vt:variant>
    </vt:vector>
  </HeadingPairs>
  <TitlesOfParts>
    <vt:vector size="8" baseType="lpstr">
      <vt:lpstr/>
      <vt:lpstr/>
      <vt:lpstr>INTRODUCTION</vt:lpstr>
      <vt:lpstr>EDUCATION OF DEAF STUDENTS </vt:lpstr>
      <vt:lpstr>THE SITUATION OF DEAF PEOPLE IN THE LABOUR MARKET</vt:lpstr>
      <vt:lpstr>STATE OF ART IN THE FIELD OF DIGITALIZATION IN EDUCATION</vt:lpstr>
      <vt:lpstr>CONCLUSION</vt:lpstr>
      <vt:lpstr>REFERENCES </vt:lpstr>
    </vt:vector>
  </TitlesOfParts>
  <Company>Społeczna Akademia Nauk</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Bogacz Anna</dc:creator>
  <cp:keywords/>
  <dc:description/>
  <cp:lastModifiedBy>User</cp:lastModifiedBy>
  <cp:revision>50</cp:revision>
  <dcterms:created xsi:type="dcterms:W3CDTF">2023-01-05T09:33:00Z</dcterms:created>
  <dcterms:modified xsi:type="dcterms:W3CDTF">2023-02-15T15:12:00Z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4e2a9cbb1e591e33eed9f43122f5bafabb4d986f69027a5d7015eae1bb230bff</vt:lpwstr>
  </property>
</Properties>
</file>